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7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5387"/>
        <w:tabs>
          <w:tab w:val="center" w:pos="496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tabs>
          <w:tab w:val="center" w:pos="496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</w:r>
    </w:p>
    <w:p>
      <w:pPr>
        <w:ind w:firstLine="5387"/>
        <w:jc w:val="both"/>
        <w:tabs>
          <w:tab w:val="center" w:pos="496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</w:t>
      </w:r>
      <w:r>
        <w:rPr>
          <w:sz w:val="28"/>
          <w:szCs w:val="28"/>
        </w:rPr>
      </w:r>
    </w:p>
    <w:p>
      <w:pPr>
        <w:ind w:firstLine="5387"/>
        <w:tabs>
          <w:tab w:val="center" w:pos="496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ind w:firstLine="4962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right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6"/>
        </w:rPr>
        <w:t xml:space="preserve">О предоставлении разрешения 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на отклонение от предельных 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п</w:t>
      </w:r>
      <w:r>
        <w:rPr>
          <w:sz w:val="28"/>
          <w:szCs w:val="26"/>
        </w:rPr>
        <w:t xml:space="preserve">араметров разрешенного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строительства, реконструкции 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объектов капитального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строительства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для земельного </w:t>
      </w:r>
      <w:r>
        <w:rPr>
          <w:sz w:val="28"/>
          <w:szCs w:val="26"/>
        </w:rPr>
        <w:br/>
        <w:t xml:space="preserve">участка с кадастровым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8"/>
        </w:rPr>
      </w:pPr>
      <w:r>
        <w:rPr>
          <w:sz w:val="28"/>
          <w:szCs w:val="26"/>
        </w:rPr>
        <w:t xml:space="preserve">номером </w:t>
      </w:r>
      <w:r>
        <w:rPr>
          <w:sz w:val="28"/>
          <w:szCs w:val="28"/>
        </w:rPr>
        <w:t xml:space="preserve">25:34:017102:146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721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721"/>
        <w:ind w:firstLine="709"/>
        <w:jc w:val="both"/>
        <w:spacing w:line="36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 xml:space="preserve">40</w:t>
      </w:r>
      <w:r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</w:t>
      </w:r>
      <w:r>
        <w:rPr>
          <w:color w:val="000000" w:themeColor="text1"/>
          <w:szCs w:val="28"/>
        </w:rPr>
        <w:t xml:space="preserve">остановление</w:t>
      </w:r>
      <w:r>
        <w:rPr>
          <w:color w:val="000000" w:themeColor="text1"/>
          <w:szCs w:val="28"/>
        </w:rPr>
        <w:t xml:space="preserve">м</w:t>
      </w:r>
      <w:r>
        <w:rPr>
          <w:color w:val="000000" w:themeColor="text1"/>
          <w:szCs w:val="28"/>
        </w:rPr>
        <w:t xml:space="preserve"> администрации Уссурийского городского о</w:t>
      </w:r>
      <w:r>
        <w:rPr>
          <w:color w:val="000000" w:themeColor="text1"/>
          <w:szCs w:val="28"/>
        </w:rPr>
        <w:t xml:space="preserve">круга от 09</w:t>
      </w:r>
      <w:r>
        <w:rPr>
          <w:color w:val="000000" w:themeColor="text1"/>
          <w:szCs w:val="28"/>
        </w:rPr>
        <w:t xml:space="preserve"> сентября </w:t>
      </w:r>
      <w:r>
        <w:rPr>
          <w:color w:val="000000" w:themeColor="text1"/>
          <w:szCs w:val="28"/>
        </w:rPr>
        <w:t xml:space="preserve">2021 </w:t>
      </w:r>
      <w:r>
        <w:rPr>
          <w:color w:val="000000" w:themeColor="text1"/>
          <w:szCs w:val="28"/>
        </w:rPr>
        <w:t xml:space="preserve">№</w:t>
      </w:r>
      <w:r>
        <w:rPr>
          <w:color w:val="000000" w:themeColor="text1"/>
          <w:szCs w:val="28"/>
        </w:rPr>
        <w:t xml:space="preserve"> 2045-НПА </w:t>
      </w: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Об утверждении Правил землепользования и застройки Уссурийского городского округа</w:t>
      </w:r>
      <w:r>
        <w:rPr>
          <w:color w:val="000000" w:themeColor="text1"/>
          <w:szCs w:val="28"/>
        </w:rPr>
        <w:t xml:space="preserve">»</w:t>
      </w:r>
      <w:r>
        <w:rPr>
          <w:color w:val="000000" w:themeColor="text1"/>
          <w:szCs w:val="28"/>
        </w:rPr>
      </w:r>
    </w:p>
    <w:p>
      <w:pPr>
        <w:pStyle w:val="721"/>
        <w:jc w:val="lef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1"/>
        <w:jc w:val="lef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1"/>
        <w:jc w:val="left"/>
        <w:spacing w:line="360" w:lineRule="auto"/>
        <w:widowControl w:val="off"/>
        <w:rPr>
          <w:szCs w:val="28"/>
        </w:rPr>
      </w:pPr>
      <w:r>
        <w:rPr>
          <w:szCs w:val="28"/>
        </w:rPr>
        <w:t xml:space="preserve">ПОСТАНОВЛЯЕТ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721"/>
        <w:jc w:val="lef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1"/>
        <w:jc w:val="lef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8"/>
        <w:ind w:lef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 xml:space="preserve">разрешени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line="365" w:lineRule="auto"/>
        <w:widowControl w:val="off"/>
        <w:tabs>
          <w:tab w:val="left" w:pos="1701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Доброезжевой Екатерине Вячеславовне и Доброезжеву Леониду </w:t>
      </w:r>
      <w:r>
        <w:rPr>
          <w:sz w:val="28"/>
          <w:szCs w:val="28"/>
        </w:rPr>
        <w:t xml:space="preserve">Львовичу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уменьшения минимального отступа от границ земельного участка с кадастровым номером </w:t>
      </w:r>
      <w:r>
        <w:rPr>
          <w:sz w:val="28"/>
          <w:szCs w:val="28"/>
        </w:rPr>
        <w:t xml:space="preserve">25:34:017102:146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1362</w:t>
      </w:r>
      <w:r>
        <w:rPr>
          <w:sz w:val="28"/>
          <w:szCs w:val="28"/>
        </w:rPr>
        <w:t xml:space="preserve"> кв. м, 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                  в границах участка. Почтовый адрес ориентира: </w:t>
      </w:r>
      <w:r>
        <w:rPr>
          <w:sz w:val="28"/>
          <w:szCs w:val="28"/>
        </w:rPr>
        <w:t xml:space="preserve">Приморский край,                           г. Уссурийск, ул. </w:t>
      </w:r>
      <w:r>
        <w:rPr>
          <w:sz w:val="28"/>
          <w:szCs w:val="28"/>
        </w:rPr>
        <w:t xml:space="preserve">Полушкина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территориальной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бщественно-жил</w:t>
      </w:r>
      <w:r>
        <w:rPr>
          <w:color w:val="000000"/>
          <w:sz w:val="28"/>
          <w:szCs w:val="28"/>
        </w:rPr>
        <w:t xml:space="preserve">ой</w:t>
      </w:r>
      <w:r>
        <w:rPr>
          <w:color w:val="000000"/>
          <w:sz w:val="28"/>
          <w:szCs w:val="28"/>
        </w:rPr>
        <w:t xml:space="preserve"> подзон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, подлежащ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реорганизации (ОЖ 1.1)</w:t>
      </w:r>
      <w:r>
        <w:rPr>
          <w:color w:val="000000"/>
          <w:sz w:val="28"/>
          <w:szCs w:val="28"/>
        </w:rPr>
        <w:t xml:space="preserve">, с 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м до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 м с северной </w:t>
      </w:r>
      <w:r>
        <w:rPr>
          <w:color w:val="000000"/>
          <w:sz w:val="28"/>
          <w:szCs w:val="28"/>
        </w:rPr>
        <w:t xml:space="preserve">и западной </w:t>
      </w:r>
      <w:r>
        <w:rPr>
          <w:color w:val="000000"/>
          <w:sz w:val="28"/>
          <w:szCs w:val="28"/>
        </w:rPr>
        <w:t xml:space="preserve">границ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земельного участка, вид разрешенного использования – </w:t>
      </w:r>
      <w:r>
        <w:rPr>
          <w:color w:val="000000"/>
          <w:sz w:val="28"/>
          <w:szCs w:val="28"/>
        </w:rPr>
        <w:t xml:space="preserve">для индивидуального жилищного строительства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в соответствии с частью 1 статьи 40 Градостроительного кодекса Российской Федерации, </w:t>
      </w:r>
      <w:r>
        <w:rPr>
          <w:color w:val="000000"/>
          <w:sz w:val="28"/>
          <w:szCs w:val="28"/>
        </w:rPr>
        <w:t xml:space="preserve">в связи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неблагоприятн</w:t>
      </w:r>
      <w:r>
        <w:rPr>
          <w:color w:val="000000"/>
          <w:sz w:val="28"/>
          <w:szCs w:val="28"/>
        </w:rPr>
        <w:t xml:space="preserve">ыми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инженерно-геологическими характеристиками</w:t>
      </w:r>
      <w:r>
        <w:rPr>
          <w:color w:val="000000"/>
          <w:sz w:val="28"/>
          <w:szCs w:val="28"/>
        </w:rPr>
        <w:t xml:space="preserve"> земельного участка</w:t>
      </w:r>
      <w:r>
        <w:rPr>
          <w:color w:val="000000"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365" w:lineRule="auto"/>
        <w:widowControl w:val="off"/>
        <w:tabs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разместить настоящее постановление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официальном сайте администрации Уссурийского городского округа.</w:t>
      </w:r>
      <w:r>
        <w:rPr>
          <w:sz w:val="28"/>
          <w:szCs w:val="28"/>
        </w:rPr>
      </w:r>
    </w:p>
    <w:p>
      <w:pPr>
        <w:pStyle w:val="721"/>
        <w:ind w:right="-6" w:firstLine="720"/>
        <w:jc w:val="both"/>
        <w:spacing w:line="360" w:lineRule="auto"/>
        <w:widowControl w:val="off"/>
        <w:tabs>
          <w:tab w:val="left" w:pos="9355" w:leader="none"/>
        </w:tabs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 </w:t>
      </w:r>
      <w:r>
        <w:rPr>
          <w:szCs w:val="28"/>
        </w:rPr>
        <w:t xml:space="preserve">Управлению культуры</w:t>
      </w:r>
      <w:r>
        <w:rPr>
          <w:szCs w:val="28"/>
        </w:rPr>
        <w:t xml:space="preserve"> администрации Уссурийского городского округа (Тесленко) опубликовать настоящее постановление в средствах массовой информации.</w:t>
      </w:r>
      <w:bookmarkStart w:id="0" w:name="_GoBack"/>
      <w:r/>
      <w:bookmarkEnd w:id="0"/>
      <w:r/>
      <w:r>
        <w:rPr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Уссурийского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Е.Е. Корж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53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rStyle w:val="725"/>
        <w:sz w:val="28"/>
        <w:szCs w:val="28"/>
      </w:rPr>
      <w:framePr w:wrap="around" w:vAnchor="text" w:hAnchor="page" w:x="6316" w:y="-138"/>
    </w:pPr>
    <w:r>
      <w:rPr>
        <w:rStyle w:val="725"/>
        <w:sz w:val="28"/>
        <w:szCs w:val="28"/>
      </w:rPr>
      <w:fldChar w:fldCharType="begin"/>
    </w:r>
    <w:r>
      <w:rPr>
        <w:rStyle w:val="725"/>
        <w:sz w:val="28"/>
        <w:szCs w:val="28"/>
      </w:rPr>
      <w:instrText xml:space="preserve">PAGE  </w:instrText>
    </w:r>
    <w:r>
      <w:rPr>
        <w:rStyle w:val="725"/>
        <w:sz w:val="28"/>
        <w:szCs w:val="28"/>
      </w:rPr>
      <w:fldChar w:fldCharType="separate"/>
    </w:r>
    <w:r>
      <w:rPr>
        <w:rStyle w:val="725"/>
        <w:sz w:val="28"/>
        <w:szCs w:val="28"/>
      </w:rPr>
      <w:t xml:space="preserve">2</w:t>
    </w:r>
    <w:r>
      <w:rPr>
        <w:rStyle w:val="725"/>
        <w:sz w:val="28"/>
        <w:szCs w:val="28"/>
      </w:rPr>
      <w:fldChar w:fldCharType="end"/>
    </w:r>
    <w:r>
      <w:rPr>
        <w:rStyle w:val="725"/>
        <w:sz w:val="28"/>
        <w:szCs w:val="28"/>
      </w:rPr>
    </w:r>
  </w:p>
  <w:p>
    <w:pPr>
      <w:pStyle w:val="724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rStyle w:val="725"/>
      </w:rPr>
      <w:framePr w:wrap="around" w:vAnchor="text" w:hAnchor="margin" w:xAlign="center" w:y="1"/>
    </w:pPr>
    <w:r>
      <w:rPr>
        <w:rStyle w:val="725"/>
      </w:rPr>
      <w:fldChar w:fldCharType="begin"/>
    </w:r>
    <w:r>
      <w:rPr>
        <w:rStyle w:val="725"/>
      </w:rPr>
      <w:instrText xml:space="preserve">PAGE  </w:instrText>
    </w:r>
    <w:r>
      <w:rPr>
        <w:rStyle w:val="725"/>
      </w:rPr>
      <w:fldChar w:fldCharType="end"/>
    </w:r>
    <w:r>
      <w:rPr>
        <w:rStyle w:val="725"/>
      </w:rPr>
    </w:r>
  </w:p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  <w:tabs>
          <w:tab w:val="num" w:pos="18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  <w:tabs>
          <w:tab w:val="num" w:pos="25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  <w:tabs>
          <w:tab w:val="num" w:pos="33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  <w:tabs>
          <w:tab w:val="num" w:pos="40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  <w:tabs>
          <w:tab w:val="num" w:pos="47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  <w:tabs>
          <w:tab w:val="num" w:pos="54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  <w:tabs>
          <w:tab w:val="num" w:pos="61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  <w:tabs>
          <w:tab w:val="num" w:pos="690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15" w:hanging="435"/>
        <w:tabs>
          <w:tab w:val="num" w:pos="1215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00" w:hanging="720"/>
        <w:tabs>
          <w:tab w:val="num" w:pos="150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00" w:hanging="720"/>
        <w:tabs>
          <w:tab w:val="num" w:pos="150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60" w:hanging="1080"/>
        <w:tabs>
          <w:tab w:val="num" w:pos="186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60" w:hanging="1080"/>
        <w:tabs>
          <w:tab w:val="num" w:pos="186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20" w:hanging="1440"/>
        <w:tabs>
          <w:tab w:val="num" w:pos="222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20" w:hanging="1440"/>
        <w:tabs>
          <w:tab w:val="num" w:pos="222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80" w:hanging="1800"/>
        <w:tabs>
          <w:tab w:val="num" w:pos="258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8"/>
    <w:link w:val="721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8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8"/>
    <w:link w:val="724"/>
    <w:uiPriority w:val="99"/>
  </w:style>
  <w:style w:type="character" w:styleId="45">
    <w:name w:val="Footer Char"/>
    <w:basedOn w:val="718"/>
    <w:link w:val="726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6"/>
    <w:uiPriority w:val="99"/>
  </w:style>
  <w:style w:type="table" w:styleId="48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8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8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rPr>
      <w:sz w:val="24"/>
      <w:szCs w:val="24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paragraph" w:styleId="721">
    <w:name w:val="Title"/>
    <w:basedOn w:val="717"/>
    <w:link w:val="729"/>
    <w:qFormat/>
    <w:pPr>
      <w:jc w:val="center"/>
    </w:pPr>
    <w:rPr>
      <w:sz w:val="28"/>
      <w:szCs w:val="20"/>
    </w:rPr>
  </w:style>
  <w:style w:type="paragraph" w:styleId="722">
    <w:name w:val="Balloon Text"/>
    <w:basedOn w:val="717"/>
    <w:semiHidden/>
    <w:rPr>
      <w:rFonts w:ascii="Tahoma" w:hAnsi="Tahoma" w:cs="Tahoma"/>
      <w:sz w:val="16"/>
      <w:szCs w:val="16"/>
    </w:rPr>
  </w:style>
  <w:style w:type="paragraph" w:styleId="723">
    <w:name w:val="Body Text"/>
    <w:basedOn w:val="717"/>
    <w:rPr>
      <w:sz w:val="26"/>
    </w:rPr>
  </w:style>
  <w:style w:type="paragraph" w:styleId="724">
    <w:name w:val="Header"/>
    <w:basedOn w:val="717"/>
    <w:pPr>
      <w:tabs>
        <w:tab w:val="center" w:pos="4677" w:leader="none"/>
        <w:tab w:val="right" w:pos="9355" w:leader="none"/>
      </w:tabs>
    </w:pPr>
  </w:style>
  <w:style w:type="character" w:styleId="725">
    <w:name w:val="page number"/>
    <w:basedOn w:val="718"/>
  </w:style>
  <w:style w:type="paragraph" w:styleId="726">
    <w:name w:val="Footer"/>
    <w:basedOn w:val="717"/>
    <w:link w:val="7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7" w:customStyle="1">
    <w:name w:val="Нижний колонтитул Знак"/>
    <w:link w:val="726"/>
    <w:uiPriority w:val="99"/>
    <w:rPr>
      <w:sz w:val="24"/>
      <w:szCs w:val="24"/>
    </w:rPr>
  </w:style>
  <w:style w:type="paragraph" w:styleId="728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29" w:customStyle="1">
    <w:name w:val="Название Знак"/>
    <w:basedOn w:val="718"/>
    <w:link w:val="721"/>
    <w:rPr>
      <w:sz w:val="28"/>
    </w:rPr>
  </w:style>
  <w:style w:type="character" w:styleId="730">
    <w:name w:val="annotation reference"/>
    <w:basedOn w:val="718"/>
    <w:uiPriority w:val="99"/>
    <w:semiHidden/>
    <w:unhideWhenUsed/>
    <w:rPr>
      <w:sz w:val="16"/>
      <w:szCs w:val="16"/>
    </w:rPr>
  </w:style>
  <w:style w:type="paragraph" w:styleId="731">
    <w:name w:val="annotation text"/>
    <w:basedOn w:val="717"/>
    <w:link w:val="732"/>
    <w:uiPriority w:val="99"/>
    <w:semiHidden/>
    <w:unhideWhenUsed/>
    <w:rPr>
      <w:sz w:val="20"/>
      <w:szCs w:val="20"/>
    </w:rPr>
  </w:style>
  <w:style w:type="character" w:styleId="732" w:customStyle="1">
    <w:name w:val="Текст примечания Знак"/>
    <w:basedOn w:val="718"/>
    <w:link w:val="731"/>
    <w:uiPriority w:val="99"/>
    <w:semiHidden/>
  </w:style>
  <w:style w:type="paragraph" w:styleId="733">
    <w:name w:val="annotation subject"/>
    <w:basedOn w:val="731"/>
    <w:next w:val="731"/>
    <w:link w:val="734"/>
    <w:uiPriority w:val="99"/>
    <w:semiHidden/>
    <w:unhideWhenUsed/>
    <w:rPr>
      <w:b/>
      <w:bCs/>
    </w:rPr>
  </w:style>
  <w:style w:type="character" w:styleId="734" w:customStyle="1">
    <w:name w:val="Тема примечания Знак"/>
    <w:basedOn w:val="732"/>
    <w:link w:val="733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B4D2-A8C4-4908-AE9C-AB919A74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revision>4</cp:revision>
  <dcterms:created xsi:type="dcterms:W3CDTF">2024-02-28T07:14:00Z</dcterms:created>
  <dcterms:modified xsi:type="dcterms:W3CDTF">2024-03-11T23:53:46Z</dcterms:modified>
</cp:coreProperties>
</file>