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CE10C2" w:rsidP="00A763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063D5"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861C9C">
        <w:rPr>
          <w:szCs w:val="28"/>
        </w:rPr>
        <w:t>от 2</w:t>
      </w:r>
      <w:r w:rsidR="00FD0D57">
        <w:rPr>
          <w:szCs w:val="28"/>
        </w:rPr>
        <w:t>6</w:t>
      </w:r>
      <w:r w:rsidR="006B0189">
        <w:rPr>
          <w:szCs w:val="28"/>
        </w:rPr>
        <w:t xml:space="preserve"> </w:t>
      </w:r>
      <w:r w:rsidR="00861C9C">
        <w:rPr>
          <w:szCs w:val="28"/>
        </w:rPr>
        <w:t>апреля</w:t>
      </w:r>
      <w:r w:rsidR="006B0189">
        <w:rPr>
          <w:szCs w:val="28"/>
        </w:rPr>
        <w:t xml:space="preserve"> 201</w:t>
      </w:r>
      <w:r w:rsidR="00496E8A">
        <w:rPr>
          <w:szCs w:val="28"/>
        </w:rPr>
        <w:t>9</w:t>
      </w:r>
      <w:r w:rsidR="006B0189">
        <w:rPr>
          <w:szCs w:val="28"/>
        </w:rPr>
        <w:t xml:space="preserve"> года № </w:t>
      </w:r>
      <w:r w:rsidR="00FD0D57">
        <w:rPr>
          <w:szCs w:val="28"/>
        </w:rPr>
        <w:t>965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CE6248" w:rsidRDefault="00CE6248" w:rsidP="00CE6248">
      <w:pPr>
        <w:ind w:firstLine="708"/>
        <w:rPr>
          <w:szCs w:val="28"/>
        </w:rPr>
      </w:pPr>
    </w:p>
    <w:p w:rsidR="00A3573E" w:rsidRDefault="00A3573E" w:rsidP="00A3573E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 xml:space="preserve">Лот № </w:t>
      </w:r>
      <w:r w:rsidR="00103081">
        <w:rPr>
          <w:b/>
          <w:szCs w:val="28"/>
        </w:rPr>
        <w:t>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A3573E" w:rsidRPr="00193513" w:rsidTr="00A427C5">
        <w:trPr>
          <w:trHeight w:val="1628"/>
          <w:tblHeader/>
        </w:trPr>
        <w:tc>
          <w:tcPr>
            <w:tcW w:w="426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A3573E" w:rsidRPr="00193513" w:rsidRDefault="00A3573E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FD0D57" w:rsidRPr="00193513" w:rsidTr="00A427C5">
        <w:trPr>
          <w:trHeight w:val="1407"/>
        </w:trPr>
        <w:tc>
          <w:tcPr>
            <w:tcW w:w="426" w:type="dxa"/>
            <w:vAlign w:val="center"/>
          </w:tcPr>
          <w:p w:rsidR="00FD0D57" w:rsidRPr="00193513" w:rsidRDefault="00FD0D57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D0D57" w:rsidRDefault="00FD0D57" w:rsidP="00327A79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552" w:type="dxa"/>
            <w:vAlign w:val="center"/>
          </w:tcPr>
          <w:p w:rsidR="00FD0D57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 w:rsidRPr="00DA147E">
              <w:rPr>
                <w:sz w:val="22"/>
              </w:rPr>
              <w:t>ул.Чичерина,103 в г.Уссурийске</w:t>
            </w:r>
          </w:p>
        </w:tc>
        <w:tc>
          <w:tcPr>
            <w:tcW w:w="1134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павильон </w:t>
            </w:r>
          </w:p>
        </w:tc>
        <w:tc>
          <w:tcPr>
            <w:tcW w:w="1701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 w:rsidRPr="005B3DA4">
              <w:rPr>
                <w:sz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89,9</w:t>
            </w:r>
          </w:p>
        </w:tc>
        <w:tc>
          <w:tcPr>
            <w:tcW w:w="1418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164,7</w:t>
            </w:r>
          </w:p>
        </w:tc>
        <w:tc>
          <w:tcPr>
            <w:tcW w:w="3685" w:type="dxa"/>
            <w:vAlign w:val="center"/>
          </w:tcPr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1(Х434916,15-У1399942,72)</w:t>
            </w:r>
          </w:p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2(Х434916,54-У1399943,06)</w:t>
            </w:r>
          </w:p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3(Х434925,62-У1399941,72)</w:t>
            </w:r>
          </w:p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4(Х434926,94-У1399954,66)</w:t>
            </w:r>
          </w:p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5(Х434914,24-У1399956,59)</w:t>
            </w:r>
          </w:p>
          <w:p w:rsidR="00FD0D57" w:rsidRPr="00842B6A" w:rsidRDefault="00FD0D57" w:rsidP="00FD0D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1(Х434916,15-У1399942,72)</w:t>
            </w:r>
          </w:p>
        </w:tc>
      </w:tr>
    </w:tbl>
    <w:p w:rsidR="00A3573E" w:rsidRDefault="00A3573E" w:rsidP="00A3573E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A3573E" w:rsidRPr="00EB4104" w:rsidTr="00A427C5">
        <w:tc>
          <w:tcPr>
            <w:tcW w:w="5920" w:type="dxa"/>
            <w:vAlign w:val="center"/>
          </w:tcPr>
          <w:p w:rsidR="00A3573E" w:rsidRPr="00EB4104" w:rsidRDefault="00A3573E" w:rsidP="00A427C5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A3573E" w:rsidRPr="005D3768" w:rsidRDefault="005D3768" w:rsidP="005D3768">
            <w:pPr>
              <w:spacing w:line="360" w:lineRule="auto"/>
              <w:jc w:val="center"/>
              <w:rPr>
                <w:szCs w:val="28"/>
              </w:rPr>
            </w:pPr>
            <w:r w:rsidRPr="005D3768">
              <w:rPr>
                <w:szCs w:val="28"/>
              </w:rPr>
              <w:t>23 988</w:t>
            </w:r>
            <w:r>
              <w:rPr>
                <w:szCs w:val="28"/>
              </w:rPr>
              <w:t xml:space="preserve"> (двадцать три тысячи девятьсот восемьдесят восемь</w:t>
            </w:r>
            <w:r w:rsidR="00920C1F" w:rsidRPr="005D3768">
              <w:rPr>
                <w:szCs w:val="28"/>
              </w:rPr>
              <w:t>) рубл</w:t>
            </w:r>
            <w:r>
              <w:rPr>
                <w:szCs w:val="28"/>
              </w:rPr>
              <w:t>ей</w:t>
            </w:r>
            <w:r w:rsidR="00920C1F" w:rsidRPr="005D3768">
              <w:rPr>
                <w:szCs w:val="28"/>
              </w:rPr>
              <w:t xml:space="preserve"> </w:t>
            </w:r>
            <w:r w:rsidRPr="005D3768">
              <w:rPr>
                <w:szCs w:val="28"/>
              </w:rPr>
              <w:t>12</w:t>
            </w:r>
            <w:r w:rsidR="00920C1F" w:rsidRPr="005D3768">
              <w:rPr>
                <w:szCs w:val="28"/>
              </w:rPr>
              <w:t xml:space="preserve"> копеек</w:t>
            </w:r>
          </w:p>
        </w:tc>
      </w:tr>
    </w:tbl>
    <w:p w:rsidR="00FD0D57" w:rsidRDefault="00FD0D57" w:rsidP="00CE6248">
      <w:pPr>
        <w:ind w:firstLine="708"/>
        <w:rPr>
          <w:szCs w:val="28"/>
        </w:rPr>
      </w:pPr>
    </w:p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t xml:space="preserve">Лот № </w:t>
      </w:r>
      <w:r w:rsidR="00103081">
        <w:rPr>
          <w:b/>
          <w:szCs w:val="28"/>
        </w:rPr>
        <w:t>2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FD0D57" w:rsidRPr="00193513" w:rsidTr="00962ECA">
        <w:trPr>
          <w:trHeight w:val="1628"/>
          <w:tblHeader/>
        </w:trPr>
        <w:tc>
          <w:tcPr>
            <w:tcW w:w="426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FD0D57" w:rsidRPr="00193513" w:rsidTr="00962ECA">
        <w:trPr>
          <w:trHeight w:val="1407"/>
        </w:trPr>
        <w:tc>
          <w:tcPr>
            <w:tcW w:w="426" w:type="dxa"/>
            <w:vAlign w:val="center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D0D57" w:rsidRDefault="00FD0D57" w:rsidP="00327A79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552" w:type="dxa"/>
            <w:vAlign w:val="center"/>
          </w:tcPr>
          <w:p w:rsidR="00FD0D57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 w:rsidRPr="00935E2F">
              <w:rPr>
                <w:sz w:val="22"/>
              </w:rPr>
              <w:t>ул.Некрасова,61 в г.Уссурийске</w:t>
            </w:r>
          </w:p>
        </w:tc>
        <w:tc>
          <w:tcPr>
            <w:tcW w:w="1134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киоск</w:t>
            </w:r>
          </w:p>
        </w:tc>
        <w:tc>
          <w:tcPr>
            <w:tcW w:w="1701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 w:rsidRPr="004A3117">
              <w:rPr>
                <w:sz w:val="22"/>
              </w:rPr>
              <w:t>хлебобулочные и кондитерские изделия</w:t>
            </w:r>
          </w:p>
        </w:tc>
        <w:tc>
          <w:tcPr>
            <w:tcW w:w="1134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1418" w:type="dxa"/>
            <w:vAlign w:val="center"/>
          </w:tcPr>
          <w:p w:rsidR="00FD0D57" w:rsidRPr="008C4040" w:rsidRDefault="00FD0D57" w:rsidP="00327A7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685" w:type="dxa"/>
            <w:vAlign w:val="center"/>
          </w:tcPr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1(Х435347,74-У1399326,94)</w:t>
            </w:r>
          </w:p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2(Х435348,41-У1399330,79)</w:t>
            </w:r>
          </w:p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3(Х435338,31-У1399333,06)</w:t>
            </w:r>
          </w:p>
          <w:p w:rsidR="00FD0D57" w:rsidRPr="00FD0D57" w:rsidRDefault="00FD0D57" w:rsidP="00FD0D5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4(Х435337,71-У1399329,24)</w:t>
            </w:r>
          </w:p>
          <w:p w:rsidR="00FD0D57" w:rsidRPr="00842B6A" w:rsidRDefault="00FD0D57" w:rsidP="00FD0D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FD0D57">
              <w:rPr>
                <w:rFonts w:eastAsia="Times New Roman" w:cs="Times New Roman"/>
                <w:sz w:val="22"/>
                <w:lang w:eastAsia="ru-RU"/>
              </w:rPr>
              <w:t>1(Х435347,74-У1399326,94)</w:t>
            </w:r>
          </w:p>
        </w:tc>
      </w:tr>
    </w:tbl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FD0D57" w:rsidRPr="00EB4104" w:rsidTr="00962ECA">
        <w:tc>
          <w:tcPr>
            <w:tcW w:w="5920" w:type="dxa"/>
            <w:vAlign w:val="center"/>
          </w:tcPr>
          <w:p w:rsidR="00FD0D57" w:rsidRPr="00EB4104" w:rsidRDefault="00FD0D57" w:rsidP="00962ECA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FD0D57" w:rsidRPr="00CD3266" w:rsidRDefault="00CD3266" w:rsidP="00CD3266">
            <w:pPr>
              <w:spacing w:line="360" w:lineRule="auto"/>
              <w:jc w:val="center"/>
              <w:rPr>
                <w:szCs w:val="28"/>
              </w:rPr>
            </w:pPr>
            <w:r w:rsidRPr="00CD3266">
              <w:rPr>
                <w:szCs w:val="28"/>
              </w:rPr>
              <w:t>5 826</w:t>
            </w:r>
            <w:r w:rsidR="00FD0D57" w:rsidRPr="00CD3266">
              <w:rPr>
                <w:szCs w:val="28"/>
              </w:rPr>
              <w:t xml:space="preserve"> (пять тысяч </w:t>
            </w:r>
            <w:r w:rsidRPr="00CD3266">
              <w:rPr>
                <w:szCs w:val="28"/>
              </w:rPr>
              <w:t xml:space="preserve"> восемьсот двадцать шесть) рублей 0</w:t>
            </w:r>
            <w:r w:rsidR="00FD0D57" w:rsidRPr="00CD3266">
              <w:rPr>
                <w:szCs w:val="28"/>
              </w:rPr>
              <w:t>0 копеек</w:t>
            </w:r>
          </w:p>
        </w:tc>
      </w:tr>
    </w:tbl>
    <w:p w:rsidR="00FD0D57" w:rsidRDefault="00FD0D57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lastRenderedPageBreak/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920C1F" w:rsidRPr="00CD3266" w:rsidRDefault="00920C1F" w:rsidP="00920C1F">
      <w:pPr>
        <w:rPr>
          <w:b/>
          <w:szCs w:val="28"/>
        </w:rPr>
      </w:pPr>
      <w:r w:rsidRPr="00CD3266">
        <w:rPr>
          <w:b/>
          <w:szCs w:val="28"/>
        </w:rPr>
        <w:t xml:space="preserve">Лот № </w:t>
      </w:r>
      <w:r w:rsidR="00103081">
        <w:rPr>
          <w:b/>
          <w:szCs w:val="28"/>
        </w:rPr>
        <w:t>1</w:t>
      </w:r>
      <w:r w:rsidRPr="00CD3266">
        <w:rPr>
          <w:b/>
          <w:szCs w:val="28"/>
        </w:rPr>
        <w:t xml:space="preserve"> -</w:t>
      </w:r>
      <w:r w:rsidR="00CD3266" w:rsidRPr="00CD3266">
        <w:rPr>
          <w:b/>
          <w:szCs w:val="28"/>
        </w:rPr>
        <w:t xml:space="preserve"> 23 988 (двадцать три тысячи девятьсот восемьдесят восемь) рублей 12 копеек</w:t>
      </w:r>
      <w:r w:rsidRPr="00CD3266">
        <w:rPr>
          <w:b/>
          <w:szCs w:val="28"/>
        </w:rPr>
        <w:t>;</w:t>
      </w:r>
    </w:p>
    <w:p w:rsidR="00FD0D57" w:rsidRPr="00CD3266" w:rsidRDefault="00FD0D57" w:rsidP="00FD0D57">
      <w:pPr>
        <w:rPr>
          <w:b/>
          <w:szCs w:val="28"/>
        </w:rPr>
      </w:pPr>
      <w:r w:rsidRPr="00CD3266">
        <w:rPr>
          <w:b/>
          <w:szCs w:val="28"/>
        </w:rPr>
        <w:t xml:space="preserve">Лот № </w:t>
      </w:r>
      <w:r w:rsidR="00103081">
        <w:rPr>
          <w:b/>
          <w:szCs w:val="28"/>
        </w:rPr>
        <w:t>2</w:t>
      </w:r>
      <w:r w:rsidR="00CD3266" w:rsidRPr="00CD3266">
        <w:rPr>
          <w:b/>
          <w:szCs w:val="28"/>
        </w:rPr>
        <w:t xml:space="preserve"> - 5 826 (пять тысяч  восемьсот двадцать шесть) рублей 00 копеек</w:t>
      </w:r>
      <w:r w:rsidRPr="00CD3266">
        <w:rPr>
          <w:b/>
          <w:szCs w:val="28"/>
        </w:rPr>
        <w:t>;</w:t>
      </w:r>
    </w:p>
    <w:p w:rsidR="00920C1F" w:rsidRPr="003533F4" w:rsidRDefault="00920C1F" w:rsidP="00CE6248">
      <w:pPr>
        <w:rPr>
          <w:b/>
          <w:szCs w:val="28"/>
        </w:rPr>
      </w:pP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lastRenderedPageBreak/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FD0D57" w:rsidRPr="00FD0D57">
        <w:rPr>
          <w:b/>
          <w:sz w:val="28"/>
          <w:szCs w:val="27"/>
        </w:rPr>
        <w:t>20</w:t>
      </w:r>
      <w:r w:rsidR="001E586E">
        <w:rPr>
          <w:b/>
          <w:sz w:val="28"/>
          <w:szCs w:val="27"/>
        </w:rPr>
        <w:t xml:space="preserve"> июня</w:t>
      </w:r>
      <w:r w:rsidR="00C9557D" w:rsidRPr="00DF1B22">
        <w:rPr>
          <w:b/>
          <w:sz w:val="28"/>
          <w:szCs w:val="27"/>
        </w:rPr>
        <w:t xml:space="preserve"> 2019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 xml:space="preserve">в срок до </w:t>
      </w:r>
      <w:r w:rsidR="00FD0D57">
        <w:rPr>
          <w:b/>
          <w:szCs w:val="28"/>
        </w:rPr>
        <w:t>20</w:t>
      </w:r>
      <w:r w:rsidR="00284FDE">
        <w:rPr>
          <w:b/>
          <w:szCs w:val="28"/>
        </w:rPr>
        <w:t xml:space="preserve"> июня</w:t>
      </w:r>
      <w:r w:rsidR="009D54E0" w:rsidRPr="00FB3A8E">
        <w:rPr>
          <w:b/>
          <w:szCs w:val="28"/>
        </w:rPr>
        <w:t xml:space="preserve">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A43D36" w:rsidRPr="00EE307E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3128AD" w:rsidRDefault="003128AD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3128AD" w:rsidRDefault="003128AD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FD0D57">
        <w:rPr>
          <w:b/>
          <w:sz w:val="28"/>
          <w:szCs w:val="28"/>
        </w:rPr>
        <w:t>24</w:t>
      </w:r>
      <w:r w:rsidR="001E586E">
        <w:rPr>
          <w:b/>
          <w:sz w:val="28"/>
          <w:szCs w:val="28"/>
        </w:rPr>
        <w:t xml:space="preserve"> мая</w:t>
      </w:r>
      <w:r w:rsidR="00721809" w:rsidRPr="00A047CF">
        <w:rPr>
          <w:b/>
          <w:sz w:val="28"/>
          <w:szCs w:val="28"/>
        </w:rPr>
        <w:t xml:space="preserve">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FD0D57" w:rsidRPr="00FD0D57">
        <w:rPr>
          <w:b/>
          <w:sz w:val="28"/>
          <w:szCs w:val="28"/>
        </w:rPr>
        <w:t>31</w:t>
      </w:r>
      <w:r w:rsidR="00284FDE">
        <w:rPr>
          <w:b/>
          <w:sz w:val="28"/>
          <w:szCs w:val="28"/>
        </w:rPr>
        <w:t xml:space="preserve"> мая</w:t>
      </w:r>
      <w:r w:rsidRPr="009D54E0"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180B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 w:rsidR="00686783">
        <w:rPr>
          <w:b/>
          <w:sz w:val="28"/>
          <w:szCs w:val="28"/>
        </w:rPr>
        <w:t>,               № 2</w:t>
      </w:r>
      <w:r w:rsidR="00FD0D57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 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47521C" w:rsidRP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9527A6" w:rsidRDefault="009527A6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b/>
          <w:szCs w:val="28"/>
        </w:rPr>
      </w:pP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86783">
        <w:rPr>
          <w:szCs w:val="28"/>
        </w:rPr>
        <w:t xml:space="preserve">– </w:t>
      </w:r>
      <w:r w:rsidR="009D61F9">
        <w:rPr>
          <w:b/>
          <w:szCs w:val="28"/>
        </w:rPr>
        <w:t>03 июл</w:t>
      </w:r>
      <w:r w:rsidR="00284FDE">
        <w:rPr>
          <w:b/>
          <w:szCs w:val="28"/>
        </w:rPr>
        <w:t>я</w:t>
      </w:r>
      <w:r w:rsidR="006655BF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D34E90" w:rsidRPr="006655BF" w:rsidRDefault="00D34E9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47521C" w:rsidRDefault="0047521C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6655BF" w:rsidRPr="009E5768" w:rsidRDefault="001F6EDD" w:rsidP="006655BF">
      <w:pPr>
        <w:spacing w:after="0" w:line="360" w:lineRule="auto"/>
        <w:jc w:val="both"/>
        <w:rPr>
          <w:rStyle w:val="a4"/>
          <w:b w:val="0"/>
        </w:rPr>
      </w:pPr>
      <w:r w:rsidRPr="009E5768">
        <w:rPr>
          <w:rStyle w:val="a4"/>
          <w:b w:val="0"/>
        </w:rPr>
        <w:t xml:space="preserve"> </w:t>
      </w:r>
      <w:r w:rsidR="006655BF" w:rsidRPr="009E5768">
        <w:rPr>
          <w:rStyle w:val="a4"/>
          <w:b w:val="0"/>
        </w:rPr>
        <w:t>(Администрация Уссурийского городского округа, л/с 04203014160) ИНН 2511004094, КПП 251101001,</w:t>
      </w:r>
      <w:r w:rsidR="009E5768" w:rsidRPr="009E5768">
        <w:rPr>
          <w:rStyle w:val="a4"/>
          <w:b w:val="0"/>
        </w:rPr>
        <w:t xml:space="preserve"> </w:t>
      </w:r>
      <w:r w:rsidR="009527A6">
        <w:rPr>
          <w:rStyle w:val="a4"/>
          <w:b w:val="0"/>
        </w:rPr>
        <w:t xml:space="preserve">                              </w:t>
      </w:r>
      <w:r w:rsidR="009E5768" w:rsidRPr="009E5768">
        <w:rPr>
          <w:rStyle w:val="a4"/>
          <w:b w:val="0"/>
        </w:rPr>
        <w:t xml:space="preserve">ОГРН 1022500859600, </w:t>
      </w:r>
      <w:r w:rsidR="006655BF" w:rsidRPr="009E5768">
        <w:rPr>
          <w:rStyle w:val="a4"/>
          <w:b w:val="0"/>
        </w:rPr>
        <w:t xml:space="preserve"> </w:t>
      </w:r>
      <w:r w:rsidR="009E5768" w:rsidRPr="009E5768">
        <w:rPr>
          <w:rStyle w:val="a4"/>
          <w:b w:val="0"/>
        </w:rPr>
        <w:t xml:space="preserve">ОКТМО </w:t>
      </w:r>
      <w:r w:rsidR="006655BF" w:rsidRPr="009E5768">
        <w:rPr>
          <w:rStyle w:val="a4"/>
          <w:b w:val="0"/>
        </w:rPr>
        <w:t xml:space="preserve"> 05723000</w:t>
      </w:r>
      <w:r w:rsidR="009E5768" w:rsidRPr="009E5768">
        <w:rPr>
          <w:rStyle w:val="a4"/>
          <w:b w:val="0"/>
        </w:rPr>
        <w:t>, ОКПО 04020821,</w:t>
      </w:r>
      <w:r w:rsidR="006655BF" w:rsidRPr="009E5768">
        <w:rPr>
          <w:rStyle w:val="a4"/>
          <w:b w:val="0"/>
        </w:rPr>
        <w:t xml:space="preserve"> </w:t>
      </w:r>
      <w:proofErr w:type="spellStart"/>
      <w:r w:rsidR="006655BF" w:rsidRPr="009E5768">
        <w:rPr>
          <w:rStyle w:val="a4"/>
          <w:b w:val="0"/>
        </w:rPr>
        <w:t>р</w:t>
      </w:r>
      <w:proofErr w:type="spellEnd"/>
      <w:r w:rsidR="006655BF" w:rsidRPr="009E5768">
        <w:rPr>
          <w:rStyle w:val="a4"/>
          <w:b w:val="0"/>
        </w:rPr>
        <w:t>/счет 40101810900000010002. Банк получателя: Дальневосточное ГУ Банка России</w:t>
      </w:r>
      <w:r w:rsidR="009E5768" w:rsidRPr="009E5768">
        <w:rPr>
          <w:rStyle w:val="a4"/>
          <w:b w:val="0"/>
        </w:rPr>
        <w:t xml:space="preserve"> по Приморскому краю,</w:t>
      </w:r>
      <w:r w:rsidR="006655BF" w:rsidRPr="009E5768">
        <w:rPr>
          <w:rStyle w:val="a4"/>
          <w:b w:val="0"/>
        </w:rPr>
        <w:t xml:space="preserve"> г. Владивосток, БИК 040507001, КБК </w:t>
      </w:r>
      <w:r w:rsidR="009E5768" w:rsidRPr="009E5768">
        <w:rPr>
          <w:bCs/>
          <w:szCs w:val="28"/>
        </w:rPr>
        <w:t>00111705040040060180</w:t>
      </w:r>
      <w:r w:rsidR="006655BF" w:rsidRPr="009E5768">
        <w:rPr>
          <w:rStyle w:val="a4"/>
          <w:b w:val="0"/>
        </w:rPr>
        <w:t>.</w:t>
      </w:r>
    </w:p>
    <w:p w:rsidR="009527A6" w:rsidRDefault="009527A6" w:rsidP="00C71DFD">
      <w:pPr>
        <w:spacing w:after="0" w:line="360" w:lineRule="auto"/>
        <w:ind w:firstLine="709"/>
        <w:jc w:val="both"/>
        <w:rPr>
          <w:b/>
          <w:szCs w:val="28"/>
        </w:rPr>
      </w:pP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FD0D57" w:rsidRPr="00FD0D57">
        <w:rPr>
          <w:b/>
          <w:szCs w:val="28"/>
        </w:rPr>
        <w:t>24</w:t>
      </w:r>
      <w:r w:rsidR="004D3E76">
        <w:rPr>
          <w:b/>
          <w:szCs w:val="28"/>
        </w:rPr>
        <w:t xml:space="preserve"> мая</w:t>
      </w:r>
      <w:r w:rsidR="003109F4" w:rsidRPr="00A047CF">
        <w:rPr>
          <w:b/>
          <w:szCs w:val="28"/>
        </w:rPr>
        <w:t xml:space="preserve"> 2019 года</w:t>
      </w:r>
      <w:r w:rsidR="003109F4">
        <w:rPr>
          <w:szCs w:val="28"/>
        </w:rPr>
        <w:t xml:space="preserve"> , дата окончания - </w:t>
      </w:r>
      <w:r w:rsidR="00FD0D57" w:rsidRPr="00FD0D57">
        <w:rPr>
          <w:b/>
          <w:szCs w:val="28"/>
        </w:rPr>
        <w:t>20</w:t>
      </w:r>
      <w:r w:rsidR="003109F4" w:rsidRPr="00FB3A8E">
        <w:rPr>
          <w:b/>
          <w:szCs w:val="28"/>
        </w:rPr>
        <w:t xml:space="preserve"> </w:t>
      </w:r>
      <w:r w:rsidR="001E586E">
        <w:rPr>
          <w:b/>
          <w:szCs w:val="28"/>
        </w:rPr>
        <w:t>июня</w:t>
      </w:r>
      <w:r w:rsidR="003109F4" w:rsidRPr="00A047CF">
        <w:rPr>
          <w:b/>
          <w:szCs w:val="28"/>
        </w:rPr>
        <w:t xml:space="preserve"> 2019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FD0D57" w:rsidRDefault="00FD0D57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</w:p>
    <w:p w:rsidR="0040112F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Лот № </w:t>
      </w:r>
      <w:r w:rsidR="00103081">
        <w:rPr>
          <w:sz w:val="32"/>
          <w:szCs w:val="28"/>
        </w:rPr>
        <w:t>1</w:t>
      </w:r>
    </w:p>
    <w:p w:rsidR="001E586E" w:rsidRDefault="00190914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7835083" cy="5826642"/>
            <wp:effectExtent l="19050" t="0" r="0" b="0"/>
            <wp:docPr id="4" name="Рисунок 3" descr="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.png"/>
                    <pic:cNvPicPr/>
                  </pic:nvPicPr>
                  <pic:blipFill>
                    <a:blip r:embed="rId7" cstate="print"/>
                    <a:srcRect t="18538" r="27451" b="42999"/>
                    <a:stretch>
                      <a:fillRect/>
                    </a:stretch>
                  </pic:blipFill>
                  <pic:spPr>
                    <a:xfrm>
                      <a:off x="0" y="0"/>
                      <a:ext cx="7839662" cy="583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57" w:rsidRDefault="00FD0D57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</w:p>
    <w:p w:rsidR="00FD0D57" w:rsidRDefault="00FD0D57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t xml:space="preserve">Лот № </w:t>
      </w:r>
      <w:r w:rsidR="00103081">
        <w:rPr>
          <w:noProof/>
          <w:sz w:val="32"/>
          <w:szCs w:val="28"/>
          <w:lang w:eastAsia="ru-RU"/>
        </w:rPr>
        <w:t>2</w:t>
      </w:r>
    </w:p>
    <w:p w:rsidR="0040112F" w:rsidRDefault="00190914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7524145" cy="5497033"/>
            <wp:effectExtent l="19050" t="0" r="605" b="0"/>
            <wp:docPr id="5" name="Рисунок 4" descr="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png"/>
                    <pic:cNvPicPr/>
                  </pic:nvPicPr>
                  <pic:blipFill>
                    <a:blip r:embed="rId8" cstate="print"/>
                    <a:srcRect t="18490" r="28193" b="43229"/>
                    <a:stretch>
                      <a:fillRect/>
                    </a:stretch>
                  </pic:blipFill>
                  <pic:spPr>
                    <a:xfrm>
                      <a:off x="0" y="0"/>
                      <a:ext cx="7524149" cy="549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33" w:rsidRPr="002B6D28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t xml:space="preserve"> </w:t>
      </w:r>
    </w:p>
    <w:sectPr w:rsidR="00180B33" w:rsidRPr="002B6D28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A4" w:rsidRDefault="00A554A4" w:rsidP="001359FB">
      <w:pPr>
        <w:spacing w:after="0" w:line="240" w:lineRule="auto"/>
      </w:pPr>
      <w:r>
        <w:separator/>
      </w:r>
    </w:p>
  </w:endnote>
  <w:endnote w:type="continuationSeparator" w:id="0">
    <w:p w:rsidR="00A554A4" w:rsidRDefault="00A554A4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A4" w:rsidRDefault="00A554A4" w:rsidP="001359FB">
      <w:pPr>
        <w:spacing w:after="0" w:line="240" w:lineRule="auto"/>
      </w:pPr>
      <w:r>
        <w:separator/>
      </w:r>
    </w:p>
  </w:footnote>
  <w:footnote w:type="continuationSeparator" w:id="0">
    <w:p w:rsidR="00A554A4" w:rsidRDefault="00A554A4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207DD"/>
    <w:rsid w:val="00033873"/>
    <w:rsid w:val="000630E3"/>
    <w:rsid w:val="0007244B"/>
    <w:rsid w:val="000877D6"/>
    <w:rsid w:val="00094E89"/>
    <w:rsid w:val="000D7727"/>
    <w:rsid w:val="00101DFB"/>
    <w:rsid w:val="00103081"/>
    <w:rsid w:val="00117145"/>
    <w:rsid w:val="001359FB"/>
    <w:rsid w:val="001712CC"/>
    <w:rsid w:val="001713D3"/>
    <w:rsid w:val="0017218F"/>
    <w:rsid w:val="00180B33"/>
    <w:rsid w:val="00190914"/>
    <w:rsid w:val="00193513"/>
    <w:rsid w:val="001A250F"/>
    <w:rsid w:val="001E586E"/>
    <w:rsid w:val="001F6EDD"/>
    <w:rsid w:val="0020059B"/>
    <w:rsid w:val="002371CF"/>
    <w:rsid w:val="002535F5"/>
    <w:rsid w:val="00260C50"/>
    <w:rsid w:val="00270C85"/>
    <w:rsid w:val="00284FDE"/>
    <w:rsid w:val="002972C7"/>
    <w:rsid w:val="002B6D28"/>
    <w:rsid w:val="002D0F19"/>
    <w:rsid w:val="002D1288"/>
    <w:rsid w:val="002D7E4A"/>
    <w:rsid w:val="002E0444"/>
    <w:rsid w:val="002E776E"/>
    <w:rsid w:val="002F5A26"/>
    <w:rsid w:val="003078C2"/>
    <w:rsid w:val="003109F4"/>
    <w:rsid w:val="003128AD"/>
    <w:rsid w:val="003168B2"/>
    <w:rsid w:val="003211C2"/>
    <w:rsid w:val="00333848"/>
    <w:rsid w:val="003533F4"/>
    <w:rsid w:val="003550D0"/>
    <w:rsid w:val="00361B7E"/>
    <w:rsid w:val="00364DDC"/>
    <w:rsid w:val="00371B52"/>
    <w:rsid w:val="0039161E"/>
    <w:rsid w:val="003B33B1"/>
    <w:rsid w:val="003B514D"/>
    <w:rsid w:val="003B5219"/>
    <w:rsid w:val="003D5C22"/>
    <w:rsid w:val="003E0900"/>
    <w:rsid w:val="0040112F"/>
    <w:rsid w:val="00413AC2"/>
    <w:rsid w:val="00421C5E"/>
    <w:rsid w:val="00434278"/>
    <w:rsid w:val="00454895"/>
    <w:rsid w:val="004632DE"/>
    <w:rsid w:val="00464323"/>
    <w:rsid w:val="0047506F"/>
    <w:rsid w:val="0047521C"/>
    <w:rsid w:val="00496E8A"/>
    <w:rsid w:val="004A5B1D"/>
    <w:rsid w:val="004D3E76"/>
    <w:rsid w:val="004D76D9"/>
    <w:rsid w:val="0050398F"/>
    <w:rsid w:val="00513AA7"/>
    <w:rsid w:val="00532C91"/>
    <w:rsid w:val="00537C85"/>
    <w:rsid w:val="00552C31"/>
    <w:rsid w:val="005604A2"/>
    <w:rsid w:val="005A19DB"/>
    <w:rsid w:val="005B7C93"/>
    <w:rsid w:val="005C4F46"/>
    <w:rsid w:val="005D3768"/>
    <w:rsid w:val="005D380A"/>
    <w:rsid w:val="005D49CC"/>
    <w:rsid w:val="00602B69"/>
    <w:rsid w:val="00633B40"/>
    <w:rsid w:val="00656B9C"/>
    <w:rsid w:val="006655BF"/>
    <w:rsid w:val="00686783"/>
    <w:rsid w:val="006A6700"/>
    <w:rsid w:val="006B0189"/>
    <w:rsid w:val="006E3C62"/>
    <w:rsid w:val="00700CFE"/>
    <w:rsid w:val="00721809"/>
    <w:rsid w:val="00731CDF"/>
    <w:rsid w:val="00756A65"/>
    <w:rsid w:val="00765363"/>
    <w:rsid w:val="007834B1"/>
    <w:rsid w:val="007B1490"/>
    <w:rsid w:val="007E0E1A"/>
    <w:rsid w:val="00800C8F"/>
    <w:rsid w:val="008206F5"/>
    <w:rsid w:val="00842B6A"/>
    <w:rsid w:val="00842D0C"/>
    <w:rsid w:val="00844898"/>
    <w:rsid w:val="00861C9C"/>
    <w:rsid w:val="008722AC"/>
    <w:rsid w:val="00874670"/>
    <w:rsid w:val="00877845"/>
    <w:rsid w:val="008B2373"/>
    <w:rsid w:val="008B4278"/>
    <w:rsid w:val="008C1272"/>
    <w:rsid w:val="008C67AD"/>
    <w:rsid w:val="00903703"/>
    <w:rsid w:val="00904EE3"/>
    <w:rsid w:val="0091294E"/>
    <w:rsid w:val="0091583B"/>
    <w:rsid w:val="00915FB3"/>
    <w:rsid w:val="00920C1F"/>
    <w:rsid w:val="00921600"/>
    <w:rsid w:val="00926A45"/>
    <w:rsid w:val="00933A2F"/>
    <w:rsid w:val="0095071D"/>
    <w:rsid w:val="009519CD"/>
    <w:rsid w:val="009527A6"/>
    <w:rsid w:val="00956C1F"/>
    <w:rsid w:val="009827C7"/>
    <w:rsid w:val="0099267A"/>
    <w:rsid w:val="009B3FB7"/>
    <w:rsid w:val="009C7FEF"/>
    <w:rsid w:val="009D1256"/>
    <w:rsid w:val="009D54E0"/>
    <w:rsid w:val="009D61F9"/>
    <w:rsid w:val="009E2721"/>
    <w:rsid w:val="009E5768"/>
    <w:rsid w:val="00A047CF"/>
    <w:rsid w:val="00A3573E"/>
    <w:rsid w:val="00A43D36"/>
    <w:rsid w:val="00A554A4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F20B3"/>
    <w:rsid w:val="00B13575"/>
    <w:rsid w:val="00B31C83"/>
    <w:rsid w:val="00B33493"/>
    <w:rsid w:val="00B405A0"/>
    <w:rsid w:val="00B72EBE"/>
    <w:rsid w:val="00B74CCB"/>
    <w:rsid w:val="00B96E5A"/>
    <w:rsid w:val="00BA77D4"/>
    <w:rsid w:val="00C458F3"/>
    <w:rsid w:val="00C71DFD"/>
    <w:rsid w:val="00C91426"/>
    <w:rsid w:val="00C93BAF"/>
    <w:rsid w:val="00C9557D"/>
    <w:rsid w:val="00CA138C"/>
    <w:rsid w:val="00CA4BD7"/>
    <w:rsid w:val="00CC25AA"/>
    <w:rsid w:val="00CD3266"/>
    <w:rsid w:val="00CE10C2"/>
    <w:rsid w:val="00CE6248"/>
    <w:rsid w:val="00CE7367"/>
    <w:rsid w:val="00CF509B"/>
    <w:rsid w:val="00D063D5"/>
    <w:rsid w:val="00D16A28"/>
    <w:rsid w:val="00D34E90"/>
    <w:rsid w:val="00D35287"/>
    <w:rsid w:val="00D36D44"/>
    <w:rsid w:val="00D70F3C"/>
    <w:rsid w:val="00D95C0A"/>
    <w:rsid w:val="00DF1AD3"/>
    <w:rsid w:val="00DF1B22"/>
    <w:rsid w:val="00E104CF"/>
    <w:rsid w:val="00E1068B"/>
    <w:rsid w:val="00E13766"/>
    <w:rsid w:val="00E375A0"/>
    <w:rsid w:val="00E82572"/>
    <w:rsid w:val="00EA5956"/>
    <w:rsid w:val="00EB3F7D"/>
    <w:rsid w:val="00EB4104"/>
    <w:rsid w:val="00EB4BC6"/>
    <w:rsid w:val="00EB4C89"/>
    <w:rsid w:val="00EE063B"/>
    <w:rsid w:val="00EF13CB"/>
    <w:rsid w:val="00EF7495"/>
    <w:rsid w:val="00F0049E"/>
    <w:rsid w:val="00F4436A"/>
    <w:rsid w:val="00F73771"/>
    <w:rsid w:val="00F744D5"/>
    <w:rsid w:val="00F82B8D"/>
    <w:rsid w:val="00F93894"/>
    <w:rsid w:val="00F945A5"/>
    <w:rsid w:val="00FB3A8E"/>
    <w:rsid w:val="00FC1913"/>
    <w:rsid w:val="00FC2FA5"/>
    <w:rsid w:val="00FC378D"/>
    <w:rsid w:val="00FD0D57"/>
    <w:rsid w:val="00FD18FB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FCA1-B005-4AE4-9572-3F3DBE1B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84</cp:revision>
  <cp:lastPrinted>2019-05-13T00:24:00Z</cp:lastPrinted>
  <dcterms:created xsi:type="dcterms:W3CDTF">2019-01-15T00:16:00Z</dcterms:created>
  <dcterms:modified xsi:type="dcterms:W3CDTF">2019-05-20T01:09:00Z</dcterms:modified>
</cp:coreProperties>
</file>