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22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</w:p>
    <w:p>
      <w:pPr>
        <w:ind w:left="522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Уссурийского городского округа от________________ № ________</w:t>
      </w:r>
      <w:r>
        <w:rPr>
          <w:sz w:val="28"/>
          <w:szCs w:val="28"/>
        </w:rPr>
      </w:r>
    </w:p>
    <w:p>
      <w:pPr>
        <w:ind w:right="99"/>
        <w:jc w:val="center"/>
        <w:tabs>
          <w:tab w:val="left" w:pos="9214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right="99"/>
        <w:jc w:val="center"/>
        <w:tabs>
          <w:tab w:val="left" w:pos="9214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right="99"/>
        <w:jc w:val="center"/>
        <w:tabs>
          <w:tab w:val="left" w:pos="9214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3265" cy="906145"/>
                <wp:effectExtent l="19050" t="0" r="635" b="0"/>
                <wp:docPr id="1" name="Рисунок 1" descr="111g2060_ussuriysk_c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11g2060_ussuriysk_city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23265" cy="90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95pt;height:71.3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</w:r>
    </w:p>
    <w:p>
      <w:pPr>
        <w:ind w:right="-2"/>
        <w:jc w:val="center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right="-2"/>
        <w:jc w:val="center"/>
        <w:spacing w:line="360" w:lineRule="auto"/>
        <w:tabs>
          <w:tab w:val="left" w:pos="9356" w:leader="none"/>
        </w:tabs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ДУМА</w:t>
      </w:r>
      <w:r>
        <w:rPr>
          <w:spacing w:val="20"/>
          <w:sz w:val="28"/>
          <w:szCs w:val="28"/>
        </w:rPr>
      </w:r>
    </w:p>
    <w:p>
      <w:pPr>
        <w:pStyle w:val="760"/>
        <w:jc w:val="center"/>
        <w:tabs>
          <w:tab w:val="left" w:pos="9356" w:leader="none"/>
        </w:tabs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УССУРИЙСКОГО ГОРОДСКОГО ОКРУГА</w:t>
      </w:r>
      <w:r>
        <w:rPr>
          <w:spacing w:val="20"/>
          <w:sz w:val="28"/>
          <w:szCs w:val="28"/>
        </w:rPr>
      </w:r>
    </w:p>
    <w:p>
      <w:pPr>
        <w:jc w:val="center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935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</w:t>
      </w:r>
      <w:r>
        <w:rPr>
          <w:b/>
          <w:bCs/>
          <w:sz w:val="28"/>
          <w:szCs w:val="28"/>
        </w:rPr>
      </w:r>
    </w:p>
    <w:p>
      <w:pPr>
        <w:jc w:val="center"/>
        <w:tabs>
          <w:tab w:val="left" w:pos="935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0" w:leader="none"/>
          <w:tab w:val="left" w:pos="3969" w:leader="none"/>
          <w:tab w:val="left" w:pos="7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 г.                            </w:t>
      </w:r>
      <w:r>
        <w:rPr>
          <w:sz w:val="28"/>
          <w:szCs w:val="28"/>
        </w:rPr>
        <w:t xml:space="preserve">г. Уссурийс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                      № ________ - НПА</w:t>
      </w:r>
      <w:r>
        <w:rPr>
          <w:sz w:val="28"/>
          <w:szCs w:val="28"/>
        </w:rPr>
      </w:r>
    </w:p>
    <w:p>
      <w:pPr>
        <w:pStyle w:val="776"/>
        <w:ind w:right="-2"/>
        <w:tabs>
          <w:tab w:val="left" w:pos="935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76"/>
        <w:ind w:right="-2"/>
        <w:tabs>
          <w:tab w:val="left" w:pos="935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76"/>
        <w:ind w:right="-2"/>
        <w:tabs>
          <w:tab w:val="left" w:pos="935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76"/>
        <w:ind w:right="-2"/>
        <w:jc w:val="center"/>
        <w:tabs>
          <w:tab w:val="left" w:pos="709" w:leader="none"/>
          <w:tab w:val="left" w:pos="9356" w:leader="none"/>
        </w:tabs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Думы Уссурийского городского округа от </w:t>
      </w:r>
      <w:r>
        <w:rPr>
          <w:b/>
          <w:szCs w:val="28"/>
        </w:rPr>
        <w:t xml:space="preserve">31</w:t>
      </w:r>
      <w:r>
        <w:rPr>
          <w:b/>
          <w:szCs w:val="28"/>
        </w:rPr>
        <w:t xml:space="preserve"> октября 20</w:t>
      </w:r>
      <w:r>
        <w:rPr>
          <w:b/>
          <w:szCs w:val="28"/>
        </w:rPr>
        <w:t xml:space="preserve">17</w:t>
      </w:r>
      <w:r>
        <w:rPr>
          <w:b/>
          <w:szCs w:val="28"/>
        </w:rPr>
        <w:t xml:space="preserve"> года № </w:t>
      </w:r>
      <w:r>
        <w:rPr>
          <w:b/>
          <w:szCs w:val="28"/>
        </w:rPr>
        <w:t xml:space="preserve">687</w:t>
      </w:r>
      <w:r>
        <w:rPr>
          <w:b/>
          <w:szCs w:val="28"/>
        </w:rPr>
        <w:t xml:space="preserve">-НПА</w:t>
      </w:r>
      <w:r>
        <w:rPr>
          <w:b/>
          <w:szCs w:val="28"/>
        </w:rPr>
        <w:t xml:space="preserve"> «О </w:t>
      </w:r>
      <w:r>
        <w:rPr>
          <w:b/>
          <w:szCs w:val="28"/>
        </w:rPr>
        <w:t xml:space="preserve">правилах благоустройства и содержания территории </w:t>
      </w:r>
      <w:r>
        <w:rPr>
          <w:b/>
          <w:szCs w:val="28"/>
        </w:rPr>
        <w:t xml:space="preserve">Уссурийского городского округа»</w:t>
      </w:r>
      <w:r>
        <w:rPr>
          <w:b/>
          <w:szCs w:val="28"/>
        </w:rPr>
      </w:r>
    </w:p>
    <w:p>
      <w:pPr>
        <w:ind w:right="-2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shd w:val="clear" w:color="auto" w:fill="ffffff"/>
        <w:rPr>
          <w:rStyle w:val="785"/>
          <w:i w:val="0"/>
          <w:sz w:val="28"/>
          <w:szCs w:val="28"/>
        </w:rPr>
      </w:pPr>
      <w:r>
        <w:rPr>
          <w:rStyle w:val="785"/>
          <w:i w:val="0"/>
          <w:sz w:val="28"/>
          <w:szCs w:val="28"/>
        </w:rPr>
        <w:t xml:space="preserve">В соответствии с Федеральным законом от 06 октября 2003 года</w:t>
      </w:r>
      <w:r>
        <w:rPr>
          <w:rStyle w:val="785"/>
          <w:i w:val="0"/>
          <w:sz w:val="28"/>
          <w:szCs w:val="28"/>
        </w:rPr>
        <w:br/>
        <w:t xml:space="preserve">№ 131-ФЗ </w:t>
      </w:r>
      <w:r>
        <w:rPr>
          <w:rStyle w:val="785"/>
          <w:i w:val="0"/>
          <w:sz w:val="28"/>
          <w:szCs w:val="28"/>
        </w:rPr>
        <w:t xml:space="preserve">«</w:t>
      </w:r>
      <w:r>
        <w:rPr>
          <w:rStyle w:val="785"/>
          <w:i w:val="0"/>
          <w:sz w:val="28"/>
          <w:szCs w:val="28"/>
        </w:rPr>
        <w:t xml:space="preserve">Об общих принципах организации местного самоуправления в</w:t>
      </w:r>
      <w:r>
        <w:rPr>
          <w:rStyle w:val="785"/>
          <w:i w:val="0"/>
          <w:sz w:val="28"/>
          <w:szCs w:val="28"/>
        </w:rPr>
        <w:br/>
        <w:t xml:space="preserve">Российской Федерации</w:t>
      </w:r>
      <w:r>
        <w:rPr>
          <w:rStyle w:val="785"/>
          <w:i w:val="0"/>
          <w:sz w:val="28"/>
          <w:szCs w:val="28"/>
        </w:rPr>
        <w:t xml:space="preserve">»</w:t>
      </w:r>
      <w:r>
        <w:rPr>
          <w:rStyle w:val="785"/>
          <w:i w:val="0"/>
          <w:sz w:val="28"/>
          <w:szCs w:val="28"/>
        </w:rPr>
        <w:t xml:space="preserve">, приказом Министерства строительства и жилищно</w:t>
      </w:r>
      <w:r>
        <w:rPr>
          <w:rStyle w:val="785"/>
          <w:i w:val="0"/>
          <w:sz w:val="28"/>
          <w:szCs w:val="28"/>
        </w:rPr>
        <w:t xml:space="preserve"> - </w:t>
      </w:r>
      <w:r>
        <w:rPr>
          <w:rStyle w:val="785"/>
          <w:i w:val="0"/>
          <w:sz w:val="28"/>
          <w:szCs w:val="28"/>
        </w:rPr>
        <w:t xml:space="preserve">коммунального хозяйства Российской Фе</w:t>
      </w:r>
      <w:r>
        <w:rPr>
          <w:rStyle w:val="785"/>
          <w:i w:val="0"/>
          <w:sz w:val="28"/>
          <w:szCs w:val="28"/>
        </w:rPr>
        <w:t xml:space="preserve">дерации от 29 декабря 2021 года </w:t>
      </w:r>
      <w:r>
        <w:rPr>
          <w:rStyle w:val="785"/>
          <w:i w:val="0"/>
          <w:sz w:val="28"/>
          <w:szCs w:val="28"/>
        </w:rPr>
        <w:t xml:space="preserve">             </w:t>
      </w:r>
      <w:r>
        <w:rPr>
          <w:rStyle w:val="785"/>
          <w:i w:val="0"/>
          <w:sz w:val="28"/>
          <w:szCs w:val="28"/>
        </w:rPr>
        <w:t xml:space="preserve">№ 1042/пр </w:t>
      </w:r>
      <w:r>
        <w:rPr>
          <w:rStyle w:val="785"/>
          <w:i w:val="0"/>
          <w:sz w:val="28"/>
          <w:szCs w:val="28"/>
        </w:rPr>
        <w:t xml:space="preserve">«</w:t>
      </w:r>
      <w:r>
        <w:rPr>
          <w:rStyle w:val="785"/>
          <w:i w:val="0"/>
          <w:sz w:val="28"/>
          <w:szCs w:val="28"/>
        </w:rPr>
        <w:t xml:space="preserve">Об утверждении методиче</w:t>
      </w:r>
      <w:r>
        <w:rPr>
          <w:rStyle w:val="785"/>
          <w:i w:val="0"/>
          <w:sz w:val="28"/>
          <w:szCs w:val="28"/>
        </w:rPr>
        <w:t xml:space="preserve">ских рекомендаций по разработке норм и правил по </w:t>
      </w:r>
      <w:r>
        <w:rPr>
          <w:rStyle w:val="785"/>
          <w:i w:val="0"/>
          <w:sz w:val="28"/>
          <w:szCs w:val="28"/>
        </w:rPr>
        <w:t xml:space="preserve">благоустройству террито</w:t>
      </w:r>
      <w:r>
        <w:rPr>
          <w:rStyle w:val="785"/>
          <w:i w:val="0"/>
          <w:sz w:val="28"/>
          <w:szCs w:val="28"/>
        </w:rPr>
        <w:t xml:space="preserve">рий муниципальных</w:t>
      </w:r>
      <w:r>
        <w:rPr>
          <w:rStyle w:val="785"/>
          <w:i w:val="0"/>
          <w:sz w:val="28"/>
          <w:szCs w:val="28"/>
        </w:rPr>
        <w:br/>
        <w:t xml:space="preserve">образований</w:t>
      </w:r>
      <w:r>
        <w:rPr>
          <w:rStyle w:val="785"/>
          <w:i w:val="0"/>
          <w:sz w:val="28"/>
          <w:szCs w:val="28"/>
        </w:rPr>
        <w:t xml:space="preserve">»</w:t>
      </w:r>
      <w:r>
        <w:rPr>
          <w:rStyle w:val="785"/>
          <w:i w:val="0"/>
          <w:sz w:val="28"/>
          <w:szCs w:val="28"/>
        </w:rPr>
        <w:t xml:space="preserve">, Уставом Уссурийского </w:t>
      </w:r>
      <w:r>
        <w:rPr>
          <w:rStyle w:val="785"/>
          <w:i w:val="0"/>
          <w:sz w:val="28"/>
          <w:szCs w:val="28"/>
        </w:rPr>
        <w:t xml:space="preserve">городского округа Приморского края, Дума Уссурийского городского округа</w:t>
      </w:r>
      <w:r>
        <w:rPr>
          <w:rStyle w:val="785"/>
          <w:i w:val="0"/>
          <w:sz w:val="28"/>
          <w:szCs w:val="28"/>
        </w:rPr>
        <w:t xml:space="preserve">:</w:t>
      </w:r>
      <w:r>
        <w:rPr>
          <w:rStyle w:val="785"/>
          <w:i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РЕШИЛА:</w:t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40"/>
        <w:jc w:val="both"/>
        <w:spacing w:line="36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Внести в решение Думы Уссурийского городского округа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 xml:space="preserve">687</w:t>
      </w:r>
      <w:r>
        <w:rPr>
          <w:sz w:val="28"/>
          <w:szCs w:val="28"/>
        </w:rPr>
        <w:t xml:space="preserve">-НПА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Правилах благоустройства и содержания территории </w:t>
      </w:r>
      <w:r>
        <w:rPr>
          <w:sz w:val="28"/>
          <w:szCs w:val="28"/>
        </w:rPr>
        <w:t xml:space="preserve"> Уссурийского городского округа</w:t>
      </w:r>
      <w:r>
        <w:rPr>
          <w:sz w:val="28"/>
          <w:szCs w:val="28"/>
        </w:rPr>
        <w:t xml:space="preserve">» (далее - решение) следующие изменения: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Правила благоустройства и содержания территории Уссурийского городского округа</w:t>
      </w:r>
      <w:r>
        <w:rPr>
          <w:sz w:val="28"/>
          <w:szCs w:val="28"/>
        </w:rPr>
        <w:t xml:space="preserve">» к решению</w:t>
      </w:r>
      <w:r>
        <w:rPr>
          <w:sz w:val="28"/>
          <w:szCs w:val="28"/>
        </w:rPr>
        <w:t xml:space="preserve"> (далее – Правила)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раздел I. «Общие положения»: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пункт</w:t>
      </w:r>
      <w:r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1.4. слова «домовой указатель» заменить словами «домовой знак»;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44 </w:t>
      </w:r>
      <w:r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1.4.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«домовой знак – с указанием наименования элемента планировочной структуры и (или) элемента улично-дорожной сети, номер здания (строение), сооружения, номера подъезда, помещения, машино-место;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случаи наличия адреса только у земельного участка домовой знак - с указанием наименования элемента планировочной структуры и (или) элемента улично-дорожной сети, номер земельного участка;»;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раздел II. «Требования к состоянию общественных пространств, к состоянию и облику зданий различного назначения и разной формы собственности, к объектам благоустройства и их отдельным элементам на территории Уссурийского городского округа»: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пункте</w:t>
      </w:r>
      <w:r>
        <w:rPr>
          <w:iCs/>
          <w:sz w:val="28"/>
          <w:szCs w:val="28"/>
        </w:rPr>
        <w:t xml:space="preserve"> 6.4 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части</w:t>
      </w:r>
      <w:r>
        <w:rPr>
          <w:iCs/>
          <w:sz w:val="28"/>
          <w:szCs w:val="28"/>
        </w:rPr>
        <w:t xml:space="preserve"> 6 </w:t>
      </w:r>
      <w:r>
        <w:rPr>
          <w:iCs/>
          <w:sz w:val="28"/>
          <w:szCs w:val="28"/>
        </w:rPr>
        <w:t xml:space="preserve">слова «</w:t>
      </w:r>
      <w:hyperlink r:id="rId13" w:tooltip="https://login.consultant.ru/link/?req=doc&amp;base=LAW&amp;n=163186" w:history="1">
        <w:r>
          <w:rPr>
            <w:rStyle w:val="786"/>
            <w:iCs/>
            <w:sz w:val="28"/>
            <w:szCs w:val="28"/>
          </w:rPr>
          <w:t xml:space="preserve">ГОСТ Р 52289-2004</w:t>
        </w:r>
      </w:hyperlink>
      <w:r>
        <w:rPr>
          <w:iCs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движения» заменить словами «</w:t>
      </w:r>
      <w:hyperlink r:id="rId14" w:tooltip="https://login.consultant.ru/link/?req=doc&amp;base=LAW&amp;n=348566" w:history="1">
        <w:r>
          <w:rPr>
            <w:rStyle w:val="786"/>
            <w:iCs/>
            <w:sz w:val="28"/>
            <w:szCs w:val="28"/>
          </w:rPr>
          <w:t xml:space="preserve">ГОСТ Р 52289-2019</w:t>
        </w:r>
      </w:hyperlink>
      <w:r>
        <w:rPr>
          <w:iCs/>
          <w:sz w:val="28"/>
          <w:szCs w:val="28"/>
        </w:rPr>
        <w:t xml:space="preserve"> «Технические средства организации дорожного движения»;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дополнить </w:t>
      </w:r>
      <w:r>
        <w:rPr>
          <w:iCs/>
          <w:sz w:val="28"/>
          <w:szCs w:val="28"/>
        </w:rPr>
        <w:t xml:space="preserve">часть 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14 </w:t>
      </w:r>
      <w:r>
        <w:rPr>
          <w:iCs/>
          <w:sz w:val="28"/>
          <w:szCs w:val="28"/>
        </w:rPr>
        <w:t xml:space="preserve">пунктами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14 (1).2(1) – 14(1).2.(3) следующего содержания:</w:t>
      </w:r>
      <w:r>
        <w:rPr>
          <w:iCs/>
          <w:sz w:val="28"/>
          <w:szCs w:val="28"/>
        </w:rPr>
      </w:r>
    </w:p>
    <w:p>
      <w:pPr>
        <w:ind w:firstLine="709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«14(1).2.(1) На территории Уссурийского городского округа предусматривается применение отдельно стоящих информационных конструкций и информационных конструкций, располагаемых на зданиях (строениях, сооружениях).    </w:t>
      </w:r>
      <w:r>
        <w:rPr>
          <w:iCs/>
          <w:sz w:val="28"/>
          <w:szCs w:val="28"/>
        </w:rPr>
      </w:r>
    </w:p>
    <w:p>
      <w:pPr>
        <w:ind w:firstLine="709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14(1).2.(2). Отдельно стоящие информационные конструкции размещаются на земельных участках и подразделяются на следующие виды: стела АЗС, флаговая композиция.</w:t>
      </w:r>
      <w:r>
        <w:rPr>
          <w:iCs/>
          <w:sz w:val="28"/>
          <w:szCs w:val="28"/>
        </w:rPr>
      </w:r>
    </w:p>
    <w:p>
      <w:pPr>
        <w:ind w:firstLine="709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14(1).2.(3) К информационным конструкциям, располагаемым на зданиях (строениях, сооружениях), относятся: вывеска, информационная табличка, мемориальная доска, домовой указатель.»;</w:t>
      </w:r>
      <w:r>
        <w:rPr>
          <w:iCs/>
          <w:sz w:val="28"/>
          <w:szCs w:val="28"/>
        </w:rPr>
      </w:r>
    </w:p>
    <w:p>
      <w:pPr>
        <w:ind w:firstLine="70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14(1).3.5.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«На зданиях (строениях, сооружениях), на ограждающей конструкции (заборе) непосредственно у входа на земельный участок расположенных на территории населенных пунктов Уссурийского городского округа, должны быть размещены домовые указатели.»;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 14(1).3.6.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«Домовые зн</w:t>
      </w:r>
      <w:r>
        <w:rPr>
          <w:sz w:val="28"/>
          <w:szCs w:val="28"/>
        </w:rPr>
        <w:t xml:space="preserve">аки, размещаемые на фасадах зданий (строений, сооружений) или на внешних поверхностях зданий (строений, сооружений), на ограждающей конструкции (заборе) непосредственно у входа на земельный участок (далее также - объекты адресации) должны быть безопасны.»;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</w:t>
      </w:r>
      <w:r>
        <w:rPr>
          <w:sz w:val="28"/>
          <w:szCs w:val="28"/>
        </w:rPr>
        <w:t xml:space="preserve"> 14(1).3.7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слова «домовой указатель» заменить словами «домовой знак»;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абзац первый п</w:t>
      </w:r>
      <w:r>
        <w:rPr>
          <w:sz w:val="28"/>
          <w:szCs w:val="28"/>
        </w:rPr>
        <w:t xml:space="preserve">ункта </w:t>
      </w:r>
      <w:r>
        <w:rPr>
          <w:sz w:val="28"/>
          <w:szCs w:val="28"/>
        </w:rPr>
        <w:t xml:space="preserve"> 14(1).3.8.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слова «домовых указателей» заменить словами «домовых знаков»;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подпункте 2 пункта 14(1).3.8. </w:t>
      </w:r>
      <w:r>
        <w:rPr>
          <w:color w:val="000000" w:themeColor="text1"/>
          <w:sz w:val="28"/>
          <w:szCs w:val="28"/>
        </w:rPr>
        <w:t xml:space="preserve">части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14</w:t>
      </w:r>
      <w:r>
        <w:rPr>
          <w:color w:val="000000" w:themeColor="text1"/>
          <w:sz w:val="28"/>
          <w:szCs w:val="28"/>
        </w:rPr>
        <w:t xml:space="preserve"> слова «домовой указатель» заменить словами «домовой знак»;</w:t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</w:t>
      </w:r>
      <w:r>
        <w:rPr>
          <w:sz w:val="28"/>
          <w:szCs w:val="28"/>
        </w:rPr>
        <w:t xml:space="preserve"> 14(1).3.9.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слова «домовой указатель» заменить словами «домовой знак»;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</w:t>
      </w:r>
      <w:r>
        <w:rPr>
          <w:sz w:val="28"/>
          <w:szCs w:val="28"/>
        </w:rPr>
        <w:t xml:space="preserve"> 14(1).3.10.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слова «домовых указателей» заменить словами «домовых знаков»;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абзаце два п</w:t>
      </w:r>
      <w:r>
        <w:rPr>
          <w:sz w:val="28"/>
          <w:szCs w:val="28"/>
        </w:rPr>
        <w:t xml:space="preserve">ункта</w:t>
      </w:r>
      <w:r>
        <w:rPr>
          <w:sz w:val="28"/>
          <w:szCs w:val="28"/>
        </w:rPr>
        <w:t xml:space="preserve"> 14(1).3.10.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слова «домовых указателей» заменить словами «домовых знаков»;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унктах</w:t>
      </w:r>
      <w:r>
        <w:rPr>
          <w:sz w:val="28"/>
          <w:szCs w:val="28"/>
        </w:rPr>
        <w:t xml:space="preserve"> 14(1).3.13, 14(1).3.14, 14(1).3.15, 14(1).3.16.</w:t>
      </w:r>
      <w:r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слова «домовых указателей» заменить словами «домовых знаков»;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>
        <w:rPr>
          <w:sz w:val="28"/>
          <w:szCs w:val="28"/>
        </w:rPr>
        <w:t xml:space="preserve"> 14(1).3.17, 14(1).3.18, 14(1).3.19.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«14(1).3.17. На улицах с односторонним движением </w:t>
      </w:r>
      <w:r>
        <w:rPr>
          <w:sz w:val="28"/>
          <w:szCs w:val="28"/>
        </w:rPr>
        <w:t xml:space="preserve">транспорта указатели наименования элемента улично-дорожной сети, номера зданий (строений, сооружений) на ограждающей конструкции (заборе) земельного участка должны размещаться на стороне фасада объекта адресации, ближней по направлению движения транспорта.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4(1).3.18. На оградах и корпусах промышленных предприятий домовые указатели должны размещаться справа от главного входа, въезда.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Домовые знаки, размещаемые на объектах адресации промышленных предприятий должны размещаться справа от главного входа, въезда.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14(1).3.19. Размещение на домовых знаков объявлений, посторонних надписей, изображений и других сообщений, не относящихся к данным домовых знаков, запрещено.»;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</w:t>
      </w:r>
      <w:r>
        <w:rPr>
          <w:sz w:val="28"/>
          <w:szCs w:val="28"/>
        </w:rPr>
        <w:t xml:space="preserve"> 14(1).3.20, 14(1).3.21. </w:t>
      </w:r>
      <w:r>
        <w:rPr>
          <w:sz w:val="28"/>
          <w:szCs w:val="28"/>
        </w:rPr>
        <w:t xml:space="preserve"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слова «домовых указателей» заменить словами «домовых знаков»;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подпункте 6</w:t>
      </w:r>
      <w:r>
        <w:rPr>
          <w:iCs/>
          <w:sz w:val="28"/>
          <w:szCs w:val="28"/>
        </w:rPr>
        <w:t xml:space="preserve"> пункт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 15.2 </w:t>
      </w:r>
      <w:r>
        <w:rPr>
          <w:iCs/>
          <w:sz w:val="28"/>
          <w:szCs w:val="28"/>
        </w:rPr>
        <w:t xml:space="preserve">части 15 слова </w:t>
      </w:r>
      <w:r>
        <w:rPr>
          <w:iCs/>
          <w:sz w:val="28"/>
          <w:szCs w:val="28"/>
        </w:rPr>
        <w:t xml:space="preserve">«СП 32.13330.2012 Канализация. Наружные сети и сооружения» заменить словами «СНиП 2.04.03-85 Канализация. Наружные сети и сооружения»;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15.4 </w:t>
      </w:r>
      <w:r>
        <w:rPr>
          <w:iCs/>
          <w:sz w:val="28"/>
          <w:szCs w:val="28"/>
        </w:rPr>
        <w:t xml:space="preserve">части 15</w:t>
      </w:r>
      <w:r>
        <w:rPr>
          <w:iCs/>
          <w:sz w:val="28"/>
          <w:szCs w:val="28"/>
        </w:rPr>
        <w:t xml:space="preserve">: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слова «</w:t>
      </w:r>
      <w:hyperlink r:id="rId15" w:tooltip="https://login.consultant.ru/link/?req=doc&amp;base=LAW&amp;n=163186" w:history="1">
        <w:r>
          <w:rPr>
            <w:rStyle w:val="786"/>
            <w:iCs/>
            <w:sz w:val="28"/>
            <w:szCs w:val="28"/>
          </w:rPr>
          <w:t xml:space="preserve">ГОСТ Р 52289-2004</w:t>
        </w:r>
      </w:hyperlink>
      <w:r>
        <w:rPr>
          <w:iCs/>
          <w:sz w:val="28"/>
          <w:szCs w:val="28"/>
        </w:rPr>
        <w:t xml:space="preserve"> «Национальный стандарт </w:t>
      </w:r>
      <w:r>
        <w:rPr>
          <w:iCs/>
          <w:sz w:val="28"/>
          <w:szCs w:val="28"/>
        </w:rPr>
        <w:t xml:space="preserve">Российской Федерации. Технические средства организации дорожного движения Правила применения дорожных знаков, разметки, светофоров, дорожных ограждений и направляющих устройств» заменить словами «</w:t>
      </w:r>
      <w:hyperlink r:id="rId16" w:tooltip="https://login.consultant.ru/link/?req=doc&amp;base=LAW&amp;n=348566" w:history="1">
        <w:r>
          <w:rPr>
            <w:rStyle w:val="786"/>
            <w:iCs/>
            <w:sz w:val="28"/>
            <w:szCs w:val="28"/>
          </w:rPr>
          <w:t xml:space="preserve">ГОСТ Р 52289-2019</w:t>
        </w:r>
      </w:hyperlink>
      <w:r>
        <w:rPr>
          <w:iCs/>
          <w:sz w:val="28"/>
          <w:szCs w:val="28"/>
        </w:rPr>
        <w:t xml:space="preserve"> «</w:t>
      </w:r>
      <w:r>
        <w:rPr>
          <w:sz w:val="28"/>
          <w:szCs w:val="28"/>
        </w:rPr>
        <w:t xml:space="preserve">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ГОСТ 26804-2012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Межгосуд</w:t>
      </w:r>
      <w:r>
        <w:rPr>
          <w:sz w:val="28"/>
          <w:szCs w:val="28"/>
        </w:rPr>
        <w:t xml:space="preserve">арственный стандарт. Ограждения </w:t>
      </w:r>
      <w:r>
        <w:rPr>
          <w:sz w:val="28"/>
          <w:szCs w:val="28"/>
        </w:rPr>
        <w:t xml:space="preserve">дорожные металлические барьерного типа. Технические условия</w:t>
      </w:r>
      <w:r>
        <w:rPr>
          <w:sz w:val="28"/>
          <w:szCs w:val="28"/>
        </w:rPr>
        <w:t xml:space="preserve">» исключить;</w:t>
      </w:r>
      <w:r>
        <w:rPr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пункте 17.4 </w:t>
      </w:r>
      <w:r>
        <w:rPr>
          <w:sz w:val="28"/>
          <w:szCs w:val="28"/>
        </w:rPr>
        <w:t xml:space="preserve"> части 14 </w:t>
      </w:r>
      <w:r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«Р1114» исключить;</w:t>
      </w:r>
      <w:r>
        <w:rPr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в пункте 23.2 </w:t>
      </w:r>
      <w:r>
        <w:rPr>
          <w:iCs/>
          <w:sz w:val="28"/>
          <w:szCs w:val="28"/>
        </w:rPr>
        <w:t xml:space="preserve">части 23 </w:t>
      </w:r>
      <w:r>
        <w:rPr>
          <w:iCs/>
          <w:sz w:val="28"/>
          <w:szCs w:val="28"/>
        </w:rPr>
        <w:t xml:space="preserve">слова «СП 59.13330.2016 «Свод правил. Доступность зданий и сооружений для маломобильных групп населения. </w:t>
      </w:r>
      <w:r>
        <w:rPr>
          <w:iCs/>
          <w:sz w:val="28"/>
          <w:szCs w:val="28"/>
        </w:rPr>
        <w:t xml:space="preserve">Актуализированная редакция СНиП 35-01-2001» заменить словами «СП 59.13330.2020 «Доступность зданий и сооружений для маломобильных групп населения»;</w:t>
      </w:r>
      <w:r>
        <w:rPr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24.2 </w:t>
      </w:r>
      <w:r>
        <w:rPr>
          <w:iCs/>
          <w:sz w:val="28"/>
          <w:szCs w:val="28"/>
        </w:rPr>
        <w:t xml:space="preserve">части 24 </w:t>
      </w:r>
      <w:r>
        <w:rPr>
          <w:iCs/>
          <w:sz w:val="28"/>
          <w:szCs w:val="28"/>
        </w:rPr>
        <w:t xml:space="preserve">слова «Проектирование транспортных проездов осуществляется с учетом СП 34.13330.2012 Свод правил» заменить словами «Проектирование транспортных проездов осуществляется с учетом СНиП 2.05.02-85* Автомобильные дороги»; 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2.7.5 </w:t>
      </w:r>
      <w:r>
        <w:rPr>
          <w:iCs/>
          <w:sz w:val="28"/>
          <w:szCs w:val="28"/>
        </w:rPr>
        <w:t xml:space="preserve"> части 27</w:t>
      </w:r>
      <w:r>
        <w:rPr>
          <w:iCs/>
          <w:sz w:val="28"/>
          <w:szCs w:val="28"/>
        </w:rPr>
        <w:t xml:space="preserve"> цифры «2.7.5» заменить цифрами  «27.5»;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33.3 </w:t>
      </w:r>
      <w:r>
        <w:rPr>
          <w:iCs/>
          <w:sz w:val="28"/>
          <w:szCs w:val="28"/>
        </w:rPr>
        <w:t xml:space="preserve">части 33 </w:t>
      </w:r>
      <w:r>
        <w:rPr>
          <w:iCs/>
          <w:sz w:val="28"/>
          <w:szCs w:val="28"/>
        </w:rPr>
        <w:t xml:space="preserve">слова «СП 34.13330.2012 Свод правил. Автомобильные дороги Актуализированная редакция СНиП 2.05.02-85*» заменить словами «</w:t>
      </w:r>
      <w:r>
        <w:rPr>
          <w:iCs/>
          <w:sz w:val="28"/>
          <w:szCs w:val="28"/>
        </w:rPr>
        <w:t xml:space="preserve">СП 34.13330.2021. Свод правил. Автомоб</w:t>
      </w:r>
      <w:r>
        <w:rPr>
          <w:iCs/>
          <w:sz w:val="28"/>
          <w:szCs w:val="28"/>
        </w:rPr>
        <w:t xml:space="preserve">ильные дороги. СНиП 2.05.02-85*</w:t>
      </w:r>
      <w:r>
        <w:rPr>
          <w:iCs/>
          <w:sz w:val="28"/>
          <w:szCs w:val="28"/>
        </w:rPr>
        <w:t xml:space="preserve">»; 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33.4 </w:t>
      </w:r>
      <w:r>
        <w:rPr>
          <w:iCs/>
          <w:sz w:val="28"/>
          <w:szCs w:val="28"/>
        </w:rPr>
        <w:t xml:space="preserve">части 33 </w:t>
      </w:r>
      <w:r>
        <w:rPr>
          <w:iCs/>
          <w:sz w:val="28"/>
          <w:szCs w:val="28"/>
        </w:rPr>
        <w:t xml:space="preserve">слово «Р466» исключить;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33.5 </w:t>
      </w:r>
      <w:r>
        <w:rPr>
          <w:iCs/>
          <w:sz w:val="28"/>
          <w:szCs w:val="28"/>
        </w:rPr>
        <w:t xml:space="preserve">части 33 </w:t>
      </w:r>
      <w:r>
        <w:rPr>
          <w:iCs/>
          <w:sz w:val="28"/>
          <w:szCs w:val="28"/>
        </w:rPr>
        <w:t xml:space="preserve">слова «ГОСТ 26804-2012 «Межгосударственный стандарт. Ограждения дорожные металлические барьерного типа. Технические условия» заменить словами «ГОСТ 26804-86 «Ограждения дорожные металлические барьерного типа</w:t>
      </w:r>
      <w:r>
        <w:rPr>
          <w:iCs/>
          <w:sz w:val="28"/>
          <w:szCs w:val="28"/>
        </w:rPr>
        <w:t xml:space="preserve">.</w:t>
      </w:r>
      <w:r>
        <w:t xml:space="preserve"> </w:t>
      </w:r>
      <w:r>
        <w:rPr>
          <w:iCs/>
          <w:sz w:val="28"/>
          <w:szCs w:val="28"/>
        </w:rPr>
        <w:t xml:space="preserve">Технические условия»;</w:t>
      </w:r>
      <w:r>
        <w:rPr>
          <w:iCs/>
          <w:sz w:val="28"/>
          <w:szCs w:val="28"/>
        </w:rPr>
      </w:r>
    </w:p>
    <w:p>
      <w:pPr>
        <w:ind w:firstLine="709"/>
        <w:jc w:val="both"/>
        <w:spacing w:line="360" w:lineRule="auto"/>
        <w:rPr>
          <w:rStyle w:val="785"/>
          <w:i w:val="0"/>
          <w:sz w:val="28"/>
          <w:szCs w:val="28"/>
        </w:rPr>
      </w:pPr>
      <w:r>
        <w:rPr>
          <w:rStyle w:val="785"/>
          <w:i w:val="0"/>
          <w:sz w:val="28"/>
          <w:szCs w:val="28"/>
        </w:rPr>
        <w:t xml:space="preserve">в пункте 33.6</w:t>
      </w:r>
      <w:r>
        <w:rPr>
          <w:rStyle w:val="785"/>
          <w:i w:val="0"/>
          <w:sz w:val="28"/>
          <w:szCs w:val="28"/>
        </w:rPr>
        <w:t xml:space="preserve"> части 33</w:t>
      </w:r>
      <w:r>
        <w:rPr>
          <w:rStyle w:val="785"/>
          <w:i w:val="0"/>
          <w:sz w:val="28"/>
          <w:szCs w:val="28"/>
        </w:rPr>
        <w:t xml:space="preserve"> слова </w:t>
      </w:r>
      <w:r>
        <w:rPr>
          <w:rStyle w:val="785"/>
          <w:i w:val="0"/>
          <w:sz w:val="28"/>
          <w:szCs w:val="28"/>
        </w:rPr>
        <w:t xml:space="preserve">«</w:t>
      </w:r>
      <w:r>
        <w:rPr>
          <w:rStyle w:val="785"/>
          <w:i w:val="0"/>
          <w:sz w:val="28"/>
          <w:szCs w:val="28"/>
        </w:rPr>
        <w:t xml:space="preserve">Освещение улично-дорожной сети проектируется в соответствии с</w:t>
      </w:r>
      <w:r>
        <w:rPr>
          <w:rStyle w:val="785"/>
          <w:i w:val="0"/>
          <w:sz w:val="28"/>
          <w:szCs w:val="28"/>
        </w:rPr>
        <w:t xml:space="preserve"> требованиями СП 52.13330.2011 «</w:t>
      </w:r>
      <w:r>
        <w:rPr>
          <w:rStyle w:val="785"/>
          <w:i w:val="0"/>
          <w:sz w:val="28"/>
          <w:szCs w:val="28"/>
        </w:rPr>
        <w:t xml:space="preserve">Свод правил. Естественное и искусственное освещение. Актуализированная редакция СНиП 23-05-95» заменить словами «</w:t>
      </w:r>
      <w:r>
        <w:rPr>
          <w:iCs/>
          <w:sz w:val="28"/>
          <w:szCs w:val="28"/>
        </w:rPr>
        <w:t xml:space="preserve">СП 52.13330.2016. Свод правил. Естественное и искусственное освещение. Актуализированная редакция СНиП 23-05-95*</w:t>
      </w:r>
      <w:r>
        <w:rPr>
          <w:rStyle w:val="785"/>
          <w:i w:val="0"/>
          <w:sz w:val="28"/>
          <w:szCs w:val="28"/>
        </w:rPr>
        <w:t xml:space="preserve">»</w:t>
      </w:r>
      <w:r>
        <w:rPr>
          <w:rStyle w:val="785"/>
          <w:i w:val="0"/>
          <w:sz w:val="28"/>
          <w:szCs w:val="28"/>
        </w:rPr>
        <w:t xml:space="preserve">;</w:t>
      </w:r>
      <w:r>
        <w:rPr>
          <w:rStyle w:val="785"/>
          <w:i w:val="0"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36.4 части 36 слова «Бл</w:t>
      </w:r>
      <w:r>
        <w:rPr>
          <w:iCs/>
          <w:sz w:val="28"/>
          <w:szCs w:val="28"/>
        </w:rPr>
        <w:t xml:space="preserve">агоустройство полосы отвода железной дороги проектироваться с учетом СП 119.13330.2012. "Свод правил. Железные дороги колеи 1520 мм» заменить словами «СП 119.13330.2017. Свод правил. Железные дороги колеи 1520 мм. Актуализированная редакция СНиП 32-01-95»;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абзаце третьем </w:t>
      </w:r>
      <w:r>
        <w:rPr>
          <w:iCs/>
          <w:sz w:val="28"/>
          <w:szCs w:val="28"/>
        </w:rPr>
        <w:t xml:space="preserve">пункт</w:t>
      </w:r>
      <w:r>
        <w:rPr>
          <w:iCs/>
          <w:sz w:val="28"/>
          <w:szCs w:val="28"/>
        </w:rPr>
        <w:t xml:space="preserve">а</w:t>
      </w:r>
      <w:r>
        <w:rPr>
          <w:iCs/>
          <w:sz w:val="28"/>
          <w:szCs w:val="28"/>
        </w:rPr>
        <w:t xml:space="preserve"> 38.4  </w:t>
      </w:r>
      <w:r>
        <w:rPr>
          <w:iCs/>
          <w:sz w:val="28"/>
          <w:szCs w:val="28"/>
        </w:rPr>
        <w:t xml:space="preserve">части 38 </w:t>
      </w:r>
      <w:r>
        <w:rPr>
          <w:iCs/>
          <w:sz w:val="28"/>
          <w:szCs w:val="28"/>
        </w:rPr>
        <w:t xml:space="preserve">слов</w:t>
      </w:r>
      <w:r>
        <w:rPr>
          <w:iCs/>
          <w:sz w:val="28"/>
          <w:szCs w:val="28"/>
        </w:rPr>
        <w:t xml:space="preserve">о</w:t>
      </w:r>
      <w:r>
        <w:rPr>
          <w:iCs/>
          <w:sz w:val="28"/>
          <w:szCs w:val="28"/>
        </w:rPr>
        <w:t xml:space="preserve"> «Р479» исключить;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38.5 слова </w:t>
      </w:r>
      <w:r>
        <w:rPr>
          <w:iCs/>
          <w:sz w:val="28"/>
          <w:szCs w:val="28"/>
        </w:rPr>
        <w:t xml:space="preserve">части 38 слова </w:t>
      </w:r>
      <w:r>
        <w:rPr>
          <w:iCs/>
          <w:sz w:val="28"/>
          <w:szCs w:val="28"/>
        </w:rPr>
        <w:t xml:space="preserve">«</w:t>
      </w:r>
      <w:hyperlink r:id="rId17" w:tooltip="https://login.consultant.ru/link/?req=doc&amp;base=LAW&amp;n=111251&amp;dst=100013" w:history="1">
        <w:r>
          <w:rPr>
            <w:rStyle w:val="786"/>
            <w:iCs/>
            <w:sz w:val="28"/>
            <w:szCs w:val="28"/>
          </w:rPr>
          <w:t xml:space="preserve">СанПиН 2.1.2.2645-10</w:t>
        </w:r>
      </w:hyperlink>
      <w:r>
        <w:rPr>
          <w:iCs/>
          <w:sz w:val="28"/>
          <w:szCs w:val="28"/>
        </w:rPr>
        <w:t xml:space="preserve">, утвержденных постановлением Главного государственного санитарного врача Российской</w:t>
      </w:r>
      <w:r>
        <w:rPr>
          <w:iCs/>
          <w:sz w:val="28"/>
          <w:szCs w:val="28"/>
        </w:rPr>
        <w:t xml:space="preserve"> Федерации от 10 июня 2010 года № 64 (далее - СанПиН 2.1.2.2645-10)» заменить словами  «СанПиН 2.1.3684-21, утвержденных постановлением «Главного государственного санитарного врача Российской Федерации от 28 января 2021 г. № 3 (далее- СанПиН 2.1.3684-21)»;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38.23 </w:t>
      </w:r>
      <w:r>
        <w:rPr>
          <w:iCs/>
          <w:sz w:val="28"/>
          <w:szCs w:val="28"/>
        </w:rPr>
        <w:t xml:space="preserve">части 38 </w:t>
      </w:r>
      <w:r>
        <w:rPr>
          <w:iCs/>
          <w:sz w:val="28"/>
          <w:szCs w:val="28"/>
        </w:rPr>
        <w:t xml:space="preserve">слова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«</w:t>
      </w:r>
      <w:hyperlink r:id="rId18" w:tooltip="https://login.consultant.ru/link/?req=doc&amp;base=LAW&amp;n=32662" w:history="1">
        <w:r>
          <w:rPr>
            <w:rStyle w:val="786"/>
            <w:iCs/>
            <w:sz w:val="28"/>
            <w:szCs w:val="28"/>
          </w:rPr>
          <w:t xml:space="preserve">Постановлением</w:t>
        </w:r>
      </w:hyperlink>
      <w:r>
        <w:rPr>
          <w:iCs/>
          <w:sz w:val="28"/>
          <w:szCs w:val="28"/>
        </w:rPr>
        <w:t xml:space="preserve"> Главного государственного санитарного врача РФ от 30 мая 2001 года </w:t>
      </w:r>
      <w:r>
        <w:rPr>
          <w:iCs/>
          <w:sz w:val="28"/>
          <w:szCs w:val="28"/>
        </w:rPr>
        <w:t xml:space="preserve">№</w:t>
      </w:r>
      <w:r>
        <w:rPr>
          <w:iCs/>
          <w:sz w:val="28"/>
          <w:szCs w:val="28"/>
        </w:rPr>
        <w:t xml:space="preserve"> 16</w:t>
      </w:r>
      <w:r>
        <w:rPr>
          <w:iCs/>
          <w:sz w:val="28"/>
          <w:szCs w:val="28"/>
        </w:rPr>
        <w:t xml:space="preserve">                               </w:t>
      </w:r>
      <w:r>
        <w:rPr>
          <w:iCs/>
          <w:sz w:val="28"/>
          <w:szCs w:val="28"/>
        </w:rPr>
        <w:t xml:space="preserve"> «О введении в действие санитарных правил» заменить словами «СанПиН 2.1.3684-21»; 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40.3 слова  «пункта 3.1.8 ГОСТ Р 50597-93. «Государственный стандарт Российской Федерации. Автомобильные дороги и улицы» заменить словами национальный стандарт Российской Федерации </w:t>
      </w:r>
      <w:hyperlink r:id="rId19" w:tooltip="https://login.consultant.ru/link/?req=doc&amp;base=LAW&amp;n=285670" w:history="1">
        <w:r>
          <w:rPr>
            <w:rStyle w:val="786"/>
            <w:iCs/>
            <w:sz w:val="28"/>
            <w:szCs w:val="28"/>
          </w:rPr>
          <w:t xml:space="preserve">ГОСТ Р 50597-2017</w:t>
        </w:r>
      </w:hyperlink>
      <w:r>
        <w:rPr>
          <w:iCs/>
          <w:sz w:val="28"/>
          <w:szCs w:val="28"/>
        </w:rPr>
        <w:t xml:space="preserve"> «Дороги автомобильные и улицы</w:t>
      </w:r>
      <w:r>
        <w:rPr>
          <w:iCs/>
          <w:sz w:val="28"/>
          <w:szCs w:val="28"/>
        </w:rPr>
        <w:t xml:space="preserve">»;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пункт 41.5 раздела 41  изложить в следующей редакции: </w:t>
      </w:r>
      <w:r>
        <w:rPr>
          <w:iCs/>
          <w:sz w:val="28"/>
          <w:szCs w:val="28"/>
        </w:rPr>
      </w:r>
    </w:p>
    <w:p>
      <w:pPr>
        <w:pStyle w:val="773"/>
        <w:ind w:firstLine="709"/>
        <w:jc w:val="both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«41.5. Информационные конструкции, размещаемые на территории Уссурийского городского округа должны соответствовать требованиям, установленным </w:t>
      </w:r>
      <w:hyperlink r:id="rId20" w:tooltip="https://login.consultant.ru/link/?req=doc&amp;base=RLAW020&amp;n=187368" w:history="1">
        <w:r>
          <w:rPr>
            <w:rStyle w:val="786"/>
            <w:iCs/>
            <w:sz w:val="28"/>
            <w:szCs w:val="28"/>
          </w:rPr>
          <w:t xml:space="preserve">постановлением</w:t>
        </w:r>
      </w:hyperlink>
      <w:r>
        <w:rPr>
          <w:iCs/>
          <w:sz w:val="28"/>
          <w:szCs w:val="28"/>
        </w:rPr>
        <w:t xml:space="preserve"> администрации Уссурийского городского округа от 21 января 2019 года № 89-НПА «Об утверждении Порядка размещения информационных конструкций на территории Уссурийского городског</w:t>
      </w:r>
      <w:r>
        <w:rPr>
          <w:iCs/>
          <w:sz w:val="28"/>
          <w:szCs w:val="28"/>
        </w:rPr>
        <w:t xml:space="preserve">о округа» заменить словами «Информационные конструкции размещаются на основании листа согласования, выданного администрацией Уссурийского городского округа в лице уполномоченного органа – управления градостроительства администрации Уссурийского городского </w:t>
      </w:r>
      <w:r>
        <w:rPr>
          <w:iCs/>
          <w:sz w:val="28"/>
          <w:szCs w:val="28"/>
        </w:rPr>
        <w:t xml:space="preserve">округа в порядке, установленном постановлением админи</w:t>
      </w:r>
      <w:r>
        <w:rPr>
          <w:iCs/>
          <w:sz w:val="28"/>
          <w:szCs w:val="28"/>
        </w:rPr>
        <w:t xml:space="preserve">страции Уссурийского городского округа от 21 января 2019 года № 89 – НПА «"Об утверждении Порядка размещения информационных конструкций на территории Уссурийского городского округа». При размещении информационных табличек лист согласования не требуется».  </w:t>
      </w:r>
      <w:r>
        <w:rPr>
          <w:iCs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в)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№ 6 «Требования к размещению и внешнему облику знаково-информационных конструкций»: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rStyle w:val="785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в абзацах </w:t>
      </w:r>
      <w:r>
        <w:rPr>
          <w:sz w:val="28"/>
          <w:szCs w:val="28"/>
        </w:rPr>
        <w:t xml:space="preserve">первом,</w:t>
      </w:r>
      <w:r>
        <w:rPr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  <w:t xml:space="preserve">втором </w:t>
      </w:r>
      <w:r>
        <w:rPr>
          <w:sz w:val="28"/>
          <w:szCs w:val="28"/>
        </w:rPr>
        <w:t xml:space="preserve">пункта 6 слова «домовых указателей» заменить словами «домовых знаков».</w:t>
      </w:r>
      <w:r>
        <w:rPr>
          <w:rStyle w:val="785"/>
          <w:i w:val="0"/>
          <w:iCs w:val="0"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Опубликовать настоящее решение в источнике для официального опубликования.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  <w:r>
        <w:rPr>
          <w:iCs/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 xml:space="preserve">                                                  Глава Уссурийского </w:t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</w:t>
      </w:r>
      <w:r>
        <w:rPr>
          <w:sz w:val="28"/>
          <w:szCs w:val="28"/>
        </w:rPr>
        <w:t xml:space="preserve">                             городского округа</w:t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А.Н. Черныш</w:t>
      </w:r>
      <w:r>
        <w:rPr>
          <w:sz w:val="28"/>
          <w:szCs w:val="28"/>
        </w:rPr>
        <w:t xml:space="preserve">                            _______________Е.Е. Корж</w:t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SimSun">
    <w:panose1 w:val="0200050600000002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rStyle w:val="772"/>
        <w:sz w:val="28"/>
        <w:szCs w:val="28"/>
      </w:rPr>
      <w:framePr w:wrap="around" w:vAnchor="text" w:hAnchor="margin" w:xAlign="center" w:y="1"/>
    </w:pPr>
    <w:r>
      <w:rPr>
        <w:rStyle w:val="772"/>
        <w:sz w:val="28"/>
        <w:szCs w:val="28"/>
      </w:rPr>
      <w:fldChar w:fldCharType="begin"/>
    </w:r>
    <w:r>
      <w:rPr>
        <w:rStyle w:val="772"/>
        <w:sz w:val="28"/>
        <w:szCs w:val="28"/>
      </w:rPr>
      <w:instrText xml:space="preserve">PAGE  </w:instrText>
    </w:r>
    <w:r>
      <w:rPr>
        <w:rStyle w:val="772"/>
        <w:sz w:val="28"/>
        <w:szCs w:val="28"/>
      </w:rPr>
      <w:fldChar w:fldCharType="separate"/>
    </w:r>
    <w:r>
      <w:rPr>
        <w:rStyle w:val="772"/>
        <w:sz w:val="28"/>
        <w:szCs w:val="28"/>
      </w:rPr>
      <w:t xml:space="preserve">7</w:t>
    </w:r>
    <w:r>
      <w:rPr>
        <w:rStyle w:val="772"/>
        <w:sz w:val="28"/>
        <w:szCs w:val="28"/>
      </w:rPr>
      <w:fldChar w:fldCharType="end"/>
    </w:r>
    <w:r>
      <w:rPr>
        <w:rStyle w:val="772"/>
        <w:sz w:val="28"/>
        <w:szCs w:val="28"/>
      </w:rPr>
    </w:r>
  </w:p>
  <w:p>
    <w:pPr>
      <w:pStyle w:val="7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rStyle w:val="772"/>
      </w:rPr>
      <w:framePr w:wrap="around" w:vAnchor="text" w:hAnchor="margin" w:xAlign="center" w:y="1"/>
    </w:pPr>
    <w:r>
      <w:rPr>
        <w:rStyle w:val="772"/>
      </w:rPr>
      <w:fldChar w:fldCharType="begin"/>
    </w:r>
    <w:r>
      <w:rPr>
        <w:rStyle w:val="772"/>
      </w:rPr>
      <w:instrText xml:space="preserve">PAGE  </w:instrText>
    </w:r>
    <w:r>
      <w:rPr>
        <w:rStyle w:val="772"/>
      </w:rPr>
      <w:fldChar w:fldCharType="end"/>
    </w:r>
    <w:r>
      <w:rPr>
        <w:rStyle w:val="772"/>
      </w:rPr>
    </w:r>
  </w:p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91" w:firstLine="709"/>
        <w:tabs>
          <w:tab w:val="num" w:pos="194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  <w:tabs>
          <w:tab w:val="num" w:pos="1710" w:leader="none"/>
        </w:tabs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31" w:firstLine="709"/>
        <w:tabs>
          <w:tab w:val="num" w:pos="1582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91" w:firstLine="709"/>
        <w:tabs>
          <w:tab w:val="num" w:pos="194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firstLine="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8" w:hanging="360"/>
        <w:tabs>
          <w:tab w:val="num" w:pos="214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firstLine="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811" w:firstLine="709"/>
        <w:tabs>
          <w:tab w:val="num" w:pos="266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811" w:firstLine="709"/>
        <w:tabs>
          <w:tab w:val="num" w:pos="266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25" w:hanging="1125"/>
        <w:tabs>
          <w:tab w:val="num" w:pos="182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91" w:firstLine="709"/>
        <w:tabs>
          <w:tab w:val="num" w:pos="194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firstLine="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4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5" w:hanging="855"/>
        <w:tabs>
          <w:tab w:val="num" w:pos="1215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788" w:firstLine="709"/>
        <w:tabs>
          <w:tab w:val="num" w:pos="2639" w:leader="none"/>
        </w:tabs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91" w:firstLine="709"/>
        <w:tabs>
          <w:tab w:val="num" w:pos="1942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8" w:hanging="360"/>
        <w:tabs>
          <w:tab w:val="num" w:pos="214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0" w:hanging="420"/>
        <w:tabs>
          <w:tab w:val="num" w:pos="11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1001"/>
        <w:tabs>
          <w:tab w:val="num" w:pos="992" w:leader="none"/>
        </w:tabs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31" w:firstLine="709"/>
        <w:tabs>
          <w:tab w:val="num" w:pos="1582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2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91" w:firstLine="709"/>
        <w:tabs>
          <w:tab w:val="num" w:pos="194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firstLine="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4" w:hanging="360"/>
        <w:tabs>
          <w:tab w:val="num" w:pos="212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890" w:hanging="810"/>
        <w:tabs>
          <w:tab w:val="num" w:pos="1890" w:leader="none"/>
        </w:tabs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788" w:firstLine="709"/>
        <w:tabs>
          <w:tab w:val="num" w:pos="26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91" w:firstLine="709"/>
        <w:tabs>
          <w:tab w:val="num" w:pos="194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8" w:hanging="360"/>
        <w:tabs>
          <w:tab w:val="num" w:pos="214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91" w:firstLine="709"/>
        <w:tabs>
          <w:tab w:val="num" w:pos="194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35" w:hanging="855"/>
        <w:tabs>
          <w:tab w:val="num" w:pos="193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8" w:hanging="360"/>
        <w:tabs>
          <w:tab w:val="num" w:pos="214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24"/>
  </w:num>
  <w:num w:numId="2">
    <w:abstractNumId w:val="16"/>
  </w:num>
  <w:num w:numId="3">
    <w:abstractNumId w:val="34"/>
  </w:num>
  <w:num w:numId="4">
    <w:abstractNumId w:val="11"/>
  </w:num>
  <w:num w:numId="5">
    <w:abstractNumId w:val="23"/>
  </w:num>
  <w:num w:numId="6">
    <w:abstractNumId w:val="18"/>
  </w:num>
  <w:num w:numId="7">
    <w:abstractNumId w:val="29"/>
  </w:num>
  <w:num w:numId="8">
    <w:abstractNumId w:val="6"/>
  </w:num>
  <w:num w:numId="9">
    <w:abstractNumId w:val="9"/>
  </w:num>
  <w:num w:numId="10">
    <w:abstractNumId w:val="2"/>
  </w:num>
  <w:num w:numId="11">
    <w:abstractNumId w:val="30"/>
  </w:num>
  <w:num w:numId="12">
    <w:abstractNumId w:val="12"/>
  </w:num>
  <w:num w:numId="13">
    <w:abstractNumId w:val="0"/>
  </w:num>
  <w:num w:numId="14">
    <w:abstractNumId w:val="31"/>
  </w:num>
  <w:num w:numId="15">
    <w:abstractNumId w:val="35"/>
  </w:num>
  <w:num w:numId="16">
    <w:abstractNumId w:val="4"/>
  </w:num>
  <w:num w:numId="17">
    <w:abstractNumId w:val="33"/>
  </w:num>
  <w:num w:numId="18">
    <w:abstractNumId w:val="25"/>
  </w:num>
  <w:num w:numId="19">
    <w:abstractNumId w:val="5"/>
  </w:num>
  <w:num w:numId="20">
    <w:abstractNumId w:val="19"/>
  </w:num>
  <w:num w:numId="21">
    <w:abstractNumId w:val="3"/>
  </w:num>
  <w:num w:numId="22">
    <w:abstractNumId w:val="26"/>
  </w:num>
  <w:num w:numId="23">
    <w:abstractNumId w:val="13"/>
  </w:num>
  <w:num w:numId="24">
    <w:abstractNumId w:val="28"/>
  </w:num>
  <w:num w:numId="25">
    <w:abstractNumId w:val="14"/>
  </w:num>
  <w:num w:numId="26">
    <w:abstractNumId w:val="32"/>
  </w:num>
  <w:num w:numId="27">
    <w:abstractNumId w:val="7"/>
  </w:num>
  <w:num w:numId="28">
    <w:abstractNumId w:val="15"/>
  </w:num>
  <w:num w:numId="29">
    <w:abstractNumId w:val="27"/>
  </w:num>
  <w:num w:numId="30">
    <w:abstractNumId w:val="1"/>
  </w:num>
  <w:num w:numId="31">
    <w:abstractNumId w:val="8"/>
  </w:num>
  <w:num w:numId="32">
    <w:abstractNumId w:val="22"/>
  </w:num>
  <w:num w:numId="33">
    <w:abstractNumId w:val="20"/>
  </w:num>
  <w:num w:numId="34">
    <w:abstractNumId w:val="21"/>
  </w:num>
  <w:num w:numId="35">
    <w:abstractNumId w:val="1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1"/>
    <w:link w:val="76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9"/>
    <w:next w:val="7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9"/>
    <w:next w:val="7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9"/>
    <w:next w:val="7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9"/>
    <w:next w:val="7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9"/>
    <w:next w:val="7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9"/>
    <w:next w:val="7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9"/>
    <w:next w:val="7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9"/>
    <w:next w:val="7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9"/>
    <w:next w:val="7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1"/>
    <w:link w:val="34"/>
    <w:uiPriority w:val="10"/>
    <w:rPr>
      <w:sz w:val="48"/>
      <w:szCs w:val="48"/>
    </w:rPr>
  </w:style>
  <w:style w:type="paragraph" w:styleId="36">
    <w:name w:val="Subtitle"/>
    <w:basedOn w:val="759"/>
    <w:next w:val="7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1"/>
    <w:link w:val="36"/>
    <w:uiPriority w:val="11"/>
    <w:rPr>
      <w:sz w:val="24"/>
      <w:szCs w:val="24"/>
    </w:rPr>
  </w:style>
  <w:style w:type="paragraph" w:styleId="38">
    <w:name w:val="Quote"/>
    <w:basedOn w:val="759"/>
    <w:next w:val="7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9"/>
    <w:next w:val="7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1"/>
    <w:link w:val="771"/>
    <w:uiPriority w:val="99"/>
  </w:style>
  <w:style w:type="character" w:styleId="45">
    <w:name w:val="Footer Char"/>
    <w:basedOn w:val="761"/>
    <w:link w:val="778"/>
    <w:uiPriority w:val="99"/>
  </w:style>
  <w:style w:type="paragraph" w:styleId="46">
    <w:name w:val="Caption"/>
    <w:basedOn w:val="759"/>
    <w:next w:val="7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8"/>
    <w:uiPriority w:val="99"/>
  </w:style>
  <w:style w:type="table" w:styleId="48">
    <w:name w:val="Table Grid"/>
    <w:basedOn w:val="7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1"/>
    <w:uiPriority w:val="99"/>
    <w:unhideWhenUsed/>
    <w:rPr>
      <w:vertAlign w:val="superscript"/>
    </w:rPr>
  </w:style>
  <w:style w:type="paragraph" w:styleId="178">
    <w:name w:val="endnote text"/>
    <w:basedOn w:val="7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1"/>
    <w:uiPriority w:val="99"/>
    <w:semiHidden/>
    <w:unhideWhenUsed/>
    <w:rPr>
      <w:vertAlign w:val="superscript"/>
    </w:rPr>
  </w:style>
  <w:style w:type="paragraph" w:styleId="181">
    <w:name w:val="toc 1"/>
    <w:basedOn w:val="759"/>
    <w:next w:val="7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9"/>
    <w:next w:val="7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9"/>
    <w:next w:val="7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9"/>
    <w:next w:val="7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9"/>
    <w:next w:val="7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9"/>
    <w:next w:val="7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9"/>
    <w:next w:val="7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9"/>
    <w:next w:val="7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9"/>
    <w:next w:val="7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9"/>
    <w:next w:val="759"/>
    <w:uiPriority w:val="99"/>
    <w:unhideWhenUsed/>
    <w:pPr>
      <w:spacing w:after="0" w:afterAutospacing="0"/>
    </w:pPr>
  </w:style>
  <w:style w:type="paragraph" w:styleId="759" w:default="1">
    <w:name w:val="Normal"/>
    <w:qFormat/>
    <w:rPr>
      <w:sz w:val="24"/>
      <w:szCs w:val="24"/>
    </w:rPr>
  </w:style>
  <w:style w:type="paragraph" w:styleId="760">
    <w:name w:val="Heading 1"/>
    <w:basedOn w:val="759"/>
    <w:next w:val="759"/>
    <w:link w:val="769"/>
    <w:qFormat/>
    <w:pPr>
      <w:keepNext/>
      <w:outlineLvl w:val="0"/>
    </w:pPr>
    <w:rPr>
      <w:b/>
      <w:sz w:val="26"/>
      <w:szCs w:val="20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765" w:customStyle="1">
    <w:name w:val="ConsPlusTitle"/>
    <w:pPr>
      <w:widowControl w:val="off"/>
    </w:pPr>
    <w:rPr>
      <w:b/>
      <w:bCs/>
      <w:sz w:val="24"/>
      <w:szCs w:val="24"/>
    </w:rPr>
  </w:style>
  <w:style w:type="paragraph" w:styleId="766" w:customStyle="1">
    <w:name w:val="ConsPlusNormal"/>
    <w:pPr>
      <w:ind w:firstLine="720"/>
      <w:widowControl w:val="off"/>
    </w:pPr>
    <w:rPr>
      <w:rFonts w:ascii="Arial" w:hAnsi="Arial" w:eastAsia="SimSun" w:cs="Arial"/>
      <w:lang w:eastAsia="zh-CN"/>
    </w:rPr>
  </w:style>
  <w:style w:type="paragraph" w:styleId="767" w:customStyle="1">
    <w:name w:val="1"/>
    <w:basedOn w:val="7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68">
    <w:name w:val="Balloon Text"/>
    <w:basedOn w:val="759"/>
    <w:semiHidden/>
    <w:rPr>
      <w:rFonts w:ascii="Tahoma" w:hAnsi="Tahoma" w:cs="Tahoma"/>
      <w:sz w:val="16"/>
      <w:szCs w:val="16"/>
    </w:rPr>
  </w:style>
  <w:style w:type="character" w:styleId="769" w:customStyle="1">
    <w:name w:val="Заголовок 1 Знак"/>
    <w:link w:val="760"/>
    <w:rPr>
      <w:b/>
      <w:sz w:val="26"/>
      <w:lang w:val="ru-RU" w:eastAsia="ru-RU" w:bidi="ar-SA"/>
    </w:rPr>
  </w:style>
  <w:style w:type="paragraph" w:styleId="770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771">
    <w:name w:val="Header"/>
    <w:basedOn w:val="759"/>
    <w:pPr>
      <w:tabs>
        <w:tab w:val="center" w:pos="4677" w:leader="none"/>
        <w:tab w:val="right" w:pos="9355" w:leader="none"/>
      </w:tabs>
    </w:pPr>
  </w:style>
  <w:style w:type="character" w:styleId="772">
    <w:name w:val="page number"/>
    <w:basedOn w:val="761"/>
  </w:style>
  <w:style w:type="paragraph" w:styleId="773">
    <w:name w:val="Normal (Web)"/>
    <w:basedOn w:val="759"/>
    <w:uiPriority w:val="99"/>
    <w:pPr>
      <w:spacing w:before="100" w:beforeAutospacing="1" w:after="100" w:afterAutospacing="1"/>
    </w:pPr>
  </w:style>
  <w:style w:type="paragraph" w:styleId="774">
    <w:name w:val="List Paragraph"/>
    <w:basedOn w:val="759"/>
    <w:uiPriority w:val="34"/>
    <w:qFormat/>
    <w:pPr>
      <w:ind w:left="708"/>
    </w:pPr>
  </w:style>
  <w:style w:type="paragraph" w:styleId="775" w:customStyle="1">
    <w:name w:val="Знак"/>
    <w:basedOn w:val="7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76">
    <w:name w:val="Body Text"/>
    <w:basedOn w:val="759"/>
    <w:link w:val="777"/>
    <w:pPr>
      <w:ind w:right="5395"/>
    </w:pPr>
    <w:rPr>
      <w:sz w:val="28"/>
    </w:rPr>
  </w:style>
  <w:style w:type="character" w:styleId="777" w:customStyle="1">
    <w:name w:val="Основной текст Знак"/>
    <w:basedOn w:val="761"/>
    <w:link w:val="776"/>
    <w:rPr>
      <w:sz w:val="28"/>
      <w:szCs w:val="24"/>
    </w:rPr>
  </w:style>
  <w:style w:type="paragraph" w:styleId="778">
    <w:name w:val="Footer"/>
    <w:basedOn w:val="759"/>
    <w:link w:val="779"/>
    <w:pPr>
      <w:tabs>
        <w:tab w:val="center" w:pos="4677" w:leader="none"/>
        <w:tab w:val="right" w:pos="9355" w:leader="none"/>
      </w:tabs>
    </w:pPr>
  </w:style>
  <w:style w:type="character" w:styleId="779" w:customStyle="1">
    <w:name w:val="Нижний колонтитул Знак"/>
    <w:basedOn w:val="761"/>
    <w:link w:val="778"/>
    <w:rPr>
      <w:sz w:val="24"/>
      <w:szCs w:val="24"/>
    </w:rPr>
  </w:style>
  <w:style w:type="character" w:styleId="780">
    <w:name w:val="annotation reference"/>
    <w:basedOn w:val="761"/>
    <w:semiHidden/>
    <w:unhideWhenUsed/>
    <w:rPr>
      <w:sz w:val="16"/>
      <w:szCs w:val="16"/>
    </w:rPr>
  </w:style>
  <w:style w:type="paragraph" w:styleId="781">
    <w:name w:val="annotation text"/>
    <w:basedOn w:val="759"/>
    <w:link w:val="782"/>
    <w:unhideWhenUsed/>
    <w:rPr>
      <w:sz w:val="20"/>
      <w:szCs w:val="20"/>
    </w:rPr>
  </w:style>
  <w:style w:type="character" w:styleId="782" w:customStyle="1">
    <w:name w:val="Текст примечания Знак"/>
    <w:basedOn w:val="761"/>
    <w:link w:val="781"/>
  </w:style>
  <w:style w:type="paragraph" w:styleId="783">
    <w:name w:val="annotation subject"/>
    <w:basedOn w:val="781"/>
    <w:next w:val="781"/>
    <w:link w:val="784"/>
    <w:semiHidden/>
    <w:unhideWhenUsed/>
    <w:rPr>
      <w:b/>
      <w:bCs/>
    </w:rPr>
  </w:style>
  <w:style w:type="character" w:styleId="784" w:customStyle="1">
    <w:name w:val="Тема примечания Знак"/>
    <w:basedOn w:val="782"/>
    <w:link w:val="783"/>
    <w:semiHidden/>
    <w:rPr>
      <w:b/>
      <w:bCs/>
    </w:rPr>
  </w:style>
  <w:style w:type="character" w:styleId="785">
    <w:name w:val="Emphasis"/>
    <w:basedOn w:val="761"/>
    <w:qFormat/>
    <w:rPr>
      <w:i/>
      <w:iCs/>
    </w:rPr>
  </w:style>
  <w:style w:type="character" w:styleId="786">
    <w:name w:val="Hyperlink"/>
    <w:basedOn w:val="761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163186" TargetMode="External"/><Relationship Id="rId14" Type="http://schemas.openxmlformats.org/officeDocument/2006/relationships/hyperlink" Target="https://login.consultant.ru/link/?req=doc&amp;base=LAW&amp;n=348566" TargetMode="External"/><Relationship Id="rId15" Type="http://schemas.openxmlformats.org/officeDocument/2006/relationships/hyperlink" Target="https://login.consultant.ru/link/?req=doc&amp;base=LAW&amp;n=163186" TargetMode="External"/><Relationship Id="rId16" Type="http://schemas.openxmlformats.org/officeDocument/2006/relationships/hyperlink" Target="https://login.consultant.ru/link/?req=doc&amp;base=LAW&amp;n=348566" TargetMode="External"/><Relationship Id="rId17" Type="http://schemas.openxmlformats.org/officeDocument/2006/relationships/hyperlink" Target="https://login.consultant.ru/link/?req=doc&amp;base=LAW&amp;n=111251&amp;dst=100013" TargetMode="External"/><Relationship Id="rId18" Type="http://schemas.openxmlformats.org/officeDocument/2006/relationships/hyperlink" Target="https://login.consultant.ru/link/?req=doc&amp;base=LAW&amp;n=32662" TargetMode="External"/><Relationship Id="rId19" Type="http://schemas.openxmlformats.org/officeDocument/2006/relationships/hyperlink" Target="https://login.consultant.ru/link/?req=doc&amp;base=LAW&amp;n=285670" TargetMode="External"/><Relationship Id="rId20" Type="http://schemas.openxmlformats.org/officeDocument/2006/relationships/hyperlink" Target="https://login.consultant.ru/link/?req=doc&amp;base=RLAW020&amp;n=18736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E2846-F856-4630-8AFD-4997D7F9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APK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УССУРИЙСКОГО ГОРОДСКОГО ОКРУГА</dc:title>
  <dc:creator>Комиссия</dc:creator>
  <cp:revision>22</cp:revision>
  <dcterms:created xsi:type="dcterms:W3CDTF">2024-02-26T05:18:00Z</dcterms:created>
  <dcterms:modified xsi:type="dcterms:W3CDTF">2024-04-02T08:30:44Z</dcterms:modified>
</cp:coreProperties>
</file>